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5.xml" ContentType="application/vnd.openxmlformats-officedocument.wordprocessingml.foot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10.png" ContentType="image/png"/>
  <Override PartName="/word/media/image7.png" ContentType="image/png"/>
  <Override PartName="/word/media/image11.png" ContentType="image/png"/>
  <Override PartName="/word/media/image8.png" ContentType="image/png"/>
  <Override PartName="/word/media/image9.png" ContentType="image/png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color w:val="000000"/>
        </w:rPr>
      </w:pPr>
      <w:r>
        <w:rPr>
          <w:color w:val="000000"/>
        </w:rPr>
        <w:drawing>
          <wp:inline distT="0" distB="0" distL="0" distR="0">
            <wp:extent cx="651510" cy="1075055"/>
            <wp:effectExtent l="0" t="0" r="0" b="0"/>
            <wp:docPr id="1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t>КЕМЕРОВСКАЯ ОБЛАСТЬ - КУЗБАСС</w:t>
      </w:r>
    </w:p>
    <w:p>
      <w:pPr>
        <w:pStyle w:val="Normal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t>НОВОКУЗНЕЦКИЙ ГОРОДСКОЙ ОКРУГ</w:t>
      </w:r>
    </w:p>
    <w:p>
      <w:pPr>
        <w:pStyle w:val="Normal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t>АДМИНИСТРАЦИЯ ГОРОДА НОВОКУЗНЕЦКА</w:t>
      </w:r>
    </w:p>
    <w:p>
      <w:pPr>
        <w:pStyle w:val="Normal"/>
        <w:pBdr>
          <w:bottom w:val="double" w:sz="4" w:space="6" w:color="000000"/>
        </w:pBdr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t>ПОСТАНОВЛЕНИЕ</w:t>
      </w:r>
    </w:p>
    <w:p>
      <w:pPr>
        <w:pStyle w:val="Normal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Normal"/>
        <w:jc w:val="left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от _____________ № _______</w:t>
      </w:r>
    </w:p>
    <w:p>
      <w:pPr>
        <w:pStyle w:val="Normal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Normal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Normal"/>
        <w:jc w:val="left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О внесении изменений в постановление</w:t>
        <w:br/>
        <w:t>администрации города Новокузнецка</w:t>
        <w:br/>
        <w:t>от 18.04.2014 №61 «Об утверждении</w:t>
        <w:br/>
        <w:t>схем размещения нестационарных</w:t>
        <w:br/>
        <w:t>торговых объектов на территории</w:t>
        <w:br/>
        <w:t>Новокузнецкого городского округа»</w:t>
      </w:r>
    </w:p>
    <w:p>
      <w:pPr>
        <w:pStyle w:val="Normal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Normal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В соответствии с Федеральным законом от 28.12.2009 №381-ФЗ «Об основах государственного регулирования торговой деятельности в Российской Федерации», постановлением Коллегии Администрации Кемеровской области от 30.11.2010 №530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</w:t>
        <w:br/>
        <w:t>области-Кузбасса, без предоставления земельных участков и установления сервитута, публичного сервитута», руководствуясь статьей 40 Устава Новокузнецкого городского округа: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1. Внести в постановление администрации города Новокузнецка</w:t>
        <w:br/>
        <w:t>от 18.04.2014 №61 «Об утверждении схем размещения нестационарных торговых объектов на территории Новокузнецкого городского округа» изменения согласно приложению к настоящему постановлению.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 Управлению потребительского рынка и развития предпринимательства администрации города Новокузнецка: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1) разместить изменения в схем</w:t>
      </w:r>
      <w:r>
        <w:rPr>
          <w:rFonts w:cs="Times New Roman" w:ascii="Times New Roman" w:hAnsi="Times New Roman"/>
          <w:color w:val="000000"/>
          <w:szCs w:val="28"/>
        </w:rPr>
        <w:t>ы</w:t>
      </w:r>
      <w:r>
        <w:rPr>
          <w:rFonts w:cs="Times New Roman" w:ascii="Times New Roman" w:hAnsi="Times New Roman"/>
          <w:color w:val="000000"/>
          <w:szCs w:val="28"/>
        </w:rPr>
        <w:t xml:space="preserve"> размещения нестационарных торговых объектов на территории Новокузнецкого городского округа, внесенные настоящим постановлением, на официальном сайте администрации города Новокузнецка в информационно-телекоммуникационной сети «Интернет»;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2) направить изменения в схем</w:t>
      </w:r>
      <w:r>
        <w:rPr>
          <w:rFonts w:cs="Times New Roman" w:ascii="Times New Roman" w:hAnsi="Times New Roman"/>
          <w:color w:val="000000"/>
          <w:szCs w:val="28"/>
        </w:rPr>
        <w:t>ы</w:t>
      </w:r>
      <w:r>
        <w:rPr>
          <w:rFonts w:cs="Times New Roman" w:ascii="Times New Roman" w:hAnsi="Times New Roman"/>
          <w:color w:val="000000"/>
          <w:szCs w:val="28"/>
        </w:rPr>
        <w:t xml:space="preserve"> размещения нестационарных торговых объектов на территории Новокузнецкого городского округа, внесенные настоящим постановлением, в Министерство промышленности и торговли Кузбасса для размещения их на официальном сайте Министерства промышленности и торговли Кузбасса в информационно-телекоммуникационной сети «Интернет».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3. 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постановления.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4. Настоящее постановление вступает в силу после его официального опубликования.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5. Контроль за исполнением настоящего постановления возложить на заместителя Главы города по экономическим вопросам.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853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926"/>
        <w:gridCol w:w="4926"/>
      </w:tblGrid>
      <w:tr>
        <w:trPr/>
        <w:tc>
          <w:tcPr>
            <w:tcW w:w="4926" w:type="dxa"/>
            <w:tcBorders/>
          </w:tcPr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Глава города</w:t>
            </w:r>
          </w:p>
        </w:tc>
        <w:tc>
          <w:tcPr>
            <w:tcW w:w="4926" w:type="dxa"/>
            <w:tcBorders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8"/>
              </w:rPr>
              <w:t>Д.П. Ильин</w:t>
            </w:r>
          </w:p>
        </w:tc>
      </w:tr>
    </w:tbl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jc w:val="left"/>
        <w:rPr>
          <w:color w:val="000000"/>
        </w:rPr>
      </w:pPr>
      <w:r>
        <w:rPr>
          <w:color w:val="000000"/>
        </w:rPr>
      </w:r>
      <w:r>
        <w:br w:type="page"/>
      </w:r>
    </w:p>
    <w:p>
      <w:pPr>
        <w:pStyle w:val="Normal"/>
        <w:spacing w:before="0" w:after="0"/>
        <w:jc w:val="right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Приложение</w:t>
        <w:br/>
        <w:t>к постановлению администрации</w:t>
        <w:br/>
        <w:t>города Новокузнецка</w:t>
      </w:r>
    </w:p>
    <w:p>
      <w:pPr>
        <w:pStyle w:val="Normal"/>
        <w:jc w:val="right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от ____________ № _______</w:t>
      </w:r>
    </w:p>
    <w:p>
      <w:pPr>
        <w:pStyle w:val="Normal"/>
        <w:spacing w:before="480" w:after="360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Изменения в постановление администрации города Новокузнецка</w:t>
        <w:br/>
      </w:r>
      <w:r>
        <w:rPr>
          <w:rFonts w:cs="Times New Roman" w:ascii="Times New Roman" w:hAnsi="Times New Roman"/>
          <w:bCs/>
          <w:color w:val="000000"/>
          <w:szCs w:val="28"/>
        </w:rPr>
        <w:t>от 18.04.2014 №61 «Об утверждении схем размещения нестационарных торговых объектов на территории Новокузнецкого городского округа»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1. В приложении №2 «Схема размещения нестационарных торговых объектов на территории Куйбышевского района Новокузнецкого городского округа»: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 xml:space="preserve">1.1. В разделе </w:t>
      </w:r>
      <w:r>
        <w:rPr>
          <w:rFonts w:cs="Times New Roman" w:ascii="Times New Roman" w:hAnsi="Times New Roman"/>
          <w:color w:val="000000"/>
          <w:szCs w:val="28"/>
          <w:lang w:val="en-US"/>
        </w:rPr>
        <w:t>I</w:t>
      </w:r>
      <w:r>
        <w:rPr>
          <w:rFonts w:cs="Times New Roman" w:ascii="Times New Roman" w:hAnsi="Times New Roman"/>
          <w:color w:val="000000"/>
          <w:szCs w:val="28"/>
        </w:rPr>
        <w:t xml:space="preserve"> «Текстовая часть»: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 xml:space="preserve">1) в графе </w:t>
      </w:r>
      <w:r>
        <w:rPr>
          <w:rFonts w:cs="Times New Roman" w:ascii="Times New Roman" w:hAnsi="Times New Roman"/>
          <w:color w:val="000000"/>
          <w:szCs w:val="28"/>
        </w:rPr>
        <w:t>6</w:t>
      </w:r>
      <w:r>
        <w:rPr>
          <w:rFonts w:cs="Times New Roman" w:ascii="Times New Roman" w:hAnsi="Times New Roman"/>
          <w:color w:val="000000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Cs w:val="28"/>
        </w:rPr>
        <w:t>строки</w:t>
      </w:r>
      <w:r>
        <w:rPr>
          <w:rFonts w:cs="Times New Roman" w:ascii="Times New Roman" w:hAnsi="Times New Roman"/>
          <w:color w:val="000000"/>
          <w:szCs w:val="28"/>
        </w:rPr>
        <w:t xml:space="preserve"> 103 </w:t>
      </w:r>
      <w:r>
        <w:rPr>
          <w:rFonts w:cs="Times New Roman" w:ascii="Times New Roman" w:hAnsi="Times New Roman"/>
          <w:color w:val="000000"/>
          <w:szCs w:val="28"/>
        </w:rPr>
        <w:t>таблицы</w:t>
      </w:r>
      <w:r>
        <w:rPr>
          <w:rFonts w:cs="Times New Roman" w:ascii="Times New Roman" w:hAnsi="Times New Roman"/>
          <w:color w:val="000000"/>
          <w:szCs w:val="28"/>
        </w:rPr>
        <w:t xml:space="preserve"> слова «специализированная (</w:t>
      </w:r>
      <w:r>
        <w:rPr>
          <w:rFonts w:eastAsia="Times New Roman" w:cs="Times New Roman" w:ascii="Times New Roman" w:hAnsi="Times New Roman"/>
          <w:color w:val="000000"/>
          <w:szCs w:val="28"/>
        </w:rPr>
        <w:t>продажа печатной продукции)</w:t>
      </w:r>
      <w:r>
        <w:rPr>
          <w:rFonts w:cs="Times New Roman" w:ascii="Times New Roman" w:hAnsi="Times New Roman"/>
          <w:color w:val="000000"/>
          <w:szCs w:val="28"/>
        </w:rPr>
        <w:t>» заменить словами «</w:t>
      </w:r>
      <w:r>
        <w:rPr>
          <w:rFonts w:eastAsia="Times New Roman" w:cs="Times New Roman" w:ascii="Times New Roman" w:hAnsi="Times New Roman"/>
          <w:color w:val="000000"/>
          <w:szCs w:val="28"/>
        </w:rPr>
        <w:t>специализированная (продажа продовольственных товаров и сельскохозяйственной продукции)</w:t>
      </w:r>
      <w:r>
        <w:rPr>
          <w:rFonts w:cs="Times New Roman" w:ascii="Times New Roman" w:hAnsi="Times New Roman"/>
          <w:color w:val="000000"/>
          <w:szCs w:val="28"/>
        </w:rPr>
        <w:t>»;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2) в граф</w:t>
      </w:r>
      <w:r>
        <w:rPr>
          <w:rFonts w:cs="Times New Roman" w:ascii="Times New Roman" w:hAnsi="Times New Roman"/>
          <w:color w:val="000000"/>
          <w:szCs w:val="28"/>
        </w:rPr>
        <w:t>ах 3 и</w:t>
      </w:r>
      <w:r>
        <w:rPr>
          <w:rFonts w:cs="Times New Roman" w:ascii="Times New Roman" w:hAnsi="Times New Roman"/>
          <w:color w:val="000000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Cs w:val="28"/>
        </w:rPr>
        <w:t>4 строки</w:t>
      </w:r>
      <w:r>
        <w:rPr>
          <w:rFonts w:cs="Times New Roman" w:ascii="Times New Roman" w:hAnsi="Times New Roman"/>
          <w:color w:val="000000"/>
          <w:szCs w:val="28"/>
        </w:rPr>
        <w:t xml:space="preserve"> 253 </w:t>
      </w:r>
      <w:r>
        <w:rPr>
          <w:rFonts w:cs="Times New Roman" w:ascii="Times New Roman" w:hAnsi="Times New Roman"/>
          <w:color w:val="000000"/>
          <w:szCs w:val="28"/>
        </w:rPr>
        <w:t>таблицы</w:t>
      </w:r>
      <w:r>
        <w:rPr>
          <w:rFonts w:cs="Times New Roman" w:ascii="Times New Roman" w:hAnsi="Times New Roman"/>
          <w:color w:val="000000"/>
          <w:szCs w:val="28"/>
        </w:rPr>
        <w:t xml:space="preserve"> цифр</w:t>
      </w:r>
      <w:r>
        <w:rPr>
          <w:rFonts w:cs="Times New Roman" w:ascii="Times New Roman" w:hAnsi="Times New Roman"/>
          <w:color w:val="000000"/>
          <w:szCs w:val="28"/>
        </w:rPr>
        <w:t>ы</w:t>
      </w:r>
      <w:r>
        <w:rPr>
          <w:rFonts w:cs="Times New Roman" w:ascii="Times New Roman" w:hAnsi="Times New Roman"/>
          <w:color w:val="000000"/>
          <w:szCs w:val="28"/>
        </w:rPr>
        <w:t xml:space="preserve"> «83» заменить цифр</w:t>
      </w:r>
      <w:r>
        <w:rPr>
          <w:rFonts w:cs="Times New Roman" w:ascii="Times New Roman" w:hAnsi="Times New Roman"/>
          <w:color w:val="000000"/>
          <w:szCs w:val="28"/>
        </w:rPr>
        <w:t>ами</w:t>
      </w:r>
      <w:r>
        <w:rPr>
          <w:rFonts w:cs="Times New Roman" w:ascii="Times New Roman" w:hAnsi="Times New Roman"/>
          <w:color w:val="000000"/>
          <w:szCs w:val="28"/>
        </w:rPr>
        <w:t xml:space="preserve"> «</w:t>
      </w:r>
      <w:r>
        <w:rPr>
          <w:rFonts w:eastAsia="Times New Roman" w:cs="Times New Roman" w:ascii="Times New Roman" w:hAnsi="Times New Roman"/>
          <w:color w:val="000000"/>
          <w:szCs w:val="28"/>
        </w:rPr>
        <w:t>116</w:t>
      </w:r>
      <w:r>
        <w:rPr>
          <w:rFonts w:cs="Times New Roman" w:ascii="Times New Roman" w:hAnsi="Times New Roman"/>
          <w:color w:val="000000"/>
          <w:szCs w:val="28"/>
        </w:rPr>
        <w:t>»;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 xml:space="preserve">3) в графе </w:t>
      </w:r>
      <w:r>
        <w:rPr>
          <w:rFonts w:cs="Times New Roman" w:ascii="Times New Roman" w:hAnsi="Times New Roman"/>
          <w:color w:val="000000"/>
          <w:szCs w:val="28"/>
        </w:rPr>
        <w:t>6</w:t>
      </w:r>
      <w:r>
        <w:rPr>
          <w:rFonts w:cs="Times New Roman" w:ascii="Times New Roman" w:hAnsi="Times New Roman"/>
          <w:color w:val="000000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Cs w:val="28"/>
        </w:rPr>
        <w:t>строки</w:t>
      </w:r>
      <w:r>
        <w:rPr>
          <w:rFonts w:cs="Times New Roman" w:ascii="Times New Roman" w:hAnsi="Times New Roman"/>
          <w:color w:val="000000"/>
          <w:szCs w:val="28"/>
        </w:rPr>
        <w:t xml:space="preserve"> 254 </w:t>
      </w:r>
      <w:r>
        <w:rPr>
          <w:rFonts w:cs="Times New Roman" w:ascii="Times New Roman" w:hAnsi="Times New Roman"/>
          <w:color w:val="000000"/>
          <w:szCs w:val="28"/>
        </w:rPr>
        <w:t>таблицы</w:t>
      </w:r>
      <w:r>
        <w:rPr>
          <w:rFonts w:cs="Times New Roman" w:ascii="Times New Roman" w:hAnsi="Times New Roman"/>
          <w:color w:val="000000"/>
          <w:szCs w:val="28"/>
        </w:rPr>
        <w:t xml:space="preserve"> слова «</w:t>
      </w:r>
      <w:r>
        <w:rPr>
          <w:rFonts w:eastAsia="Times New Roman" w:cs="Times New Roman" w:ascii="Times New Roman" w:hAnsi="Times New Roman"/>
          <w:color w:val="000000"/>
          <w:szCs w:val="28"/>
        </w:rPr>
        <w:t>специализированная (продажа продукции общественного питания)</w:t>
      </w:r>
      <w:r>
        <w:rPr>
          <w:rFonts w:cs="Times New Roman" w:ascii="Times New Roman" w:hAnsi="Times New Roman"/>
          <w:color w:val="000000"/>
          <w:szCs w:val="28"/>
        </w:rPr>
        <w:t>» заменить словами «специализированная (</w:t>
      </w:r>
      <w:r>
        <w:rPr>
          <w:rFonts w:eastAsia="Times New Roman" w:cs="Times New Roman" w:ascii="Times New Roman" w:hAnsi="Times New Roman"/>
          <w:color w:val="000000"/>
          <w:szCs w:val="28"/>
        </w:rPr>
        <w:t>продажа печатной продукции)</w:t>
      </w:r>
      <w:r>
        <w:rPr>
          <w:rFonts w:cs="Times New Roman" w:ascii="Times New Roman" w:hAnsi="Times New Roman"/>
          <w:color w:val="000000"/>
          <w:szCs w:val="28"/>
        </w:rPr>
        <w:t>».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1.2. В</w:t>
      </w:r>
      <w:r>
        <w:rPr>
          <w:rFonts w:cs="Times New Roman" w:ascii="Times New Roman" w:hAnsi="Times New Roman"/>
          <w:color w:val="000000"/>
          <w:szCs w:val="28"/>
        </w:rPr>
        <w:t xml:space="preserve"> разделе </w:t>
      </w:r>
      <w:r>
        <w:rPr>
          <w:rFonts w:cs="Times New Roman" w:ascii="Times New Roman" w:hAnsi="Times New Roman"/>
          <w:color w:val="000000"/>
          <w:szCs w:val="28"/>
          <w:lang w:val="en-US"/>
        </w:rPr>
        <w:t>II</w:t>
      </w:r>
      <w:r>
        <w:rPr>
          <w:rFonts w:cs="Times New Roman" w:ascii="Times New Roman" w:hAnsi="Times New Roman"/>
          <w:color w:val="000000"/>
          <w:szCs w:val="28"/>
        </w:rPr>
        <w:t xml:space="preserve"> «Графическая часть»: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</w:rPr>
        <w:t>1)</w:t>
      </w:r>
      <w:r>
        <w:rPr>
          <w:rFonts w:cs="Times New Roman" w:ascii="Times New Roman" w:hAnsi="Times New Roman"/>
          <w:color w:val="000000"/>
          <w:lang w:val="en-US"/>
        </w:rPr>
        <w:t> </w:t>
      </w:r>
      <w:r>
        <w:rPr>
          <w:rFonts w:cs="Times New Roman" w:ascii="Times New Roman" w:hAnsi="Times New Roman"/>
          <w:color w:val="000000"/>
        </w:rPr>
        <w:t xml:space="preserve">в графе 2 строки «Специализация торговли» таблицы порядкового номера пункта 103 текстового раздела схемы слова </w:t>
      </w:r>
      <w:r>
        <w:rPr>
          <w:rFonts w:cs="Times New Roman" w:ascii="Times New Roman" w:hAnsi="Times New Roman"/>
          <w:color w:val="000000"/>
          <w:szCs w:val="28"/>
        </w:rPr>
        <w:t>«специализированная (</w:t>
      </w:r>
      <w:r>
        <w:rPr>
          <w:rFonts w:eastAsia="Times New Roman" w:cs="Times New Roman" w:ascii="Times New Roman" w:hAnsi="Times New Roman"/>
          <w:color w:val="000000"/>
          <w:szCs w:val="28"/>
        </w:rPr>
        <w:t>продажа печатной продукции)</w:t>
      </w:r>
      <w:r>
        <w:rPr>
          <w:rFonts w:cs="Times New Roman" w:ascii="Times New Roman" w:hAnsi="Times New Roman"/>
          <w:color w:val="000000"/>
          <w:szCs w:val="28"/>
        </w:rPr>
        <w:t>» заменить словами «</w:t>
      </w:r>
      <w:r>
        <w:rPr>
          <w:rFonts w:eastAsia="Times New Roman" w:cs="Times New Roman" w:ascii="Times New Roman" w:hAnsi="Times New Roman"/>
          <w:color w:val="000000"/>
          <w:szCs w:val="28"/>
        </w:rPr>
        <w:t>специализированная (продажа продовольственных товаров и сельскохозяйственной продукции)</w:t>
      </w:r>
      <w:r>
        <w:rPr>
          <w:rFonts w:cs="Times New Roman" w:ascii="Times New Roman" w:hAnsi="Times New Roman"/>
          <w:color w:val="000000"/>
          <w:szCs w:val="28"/>
        </w:rPr>
        <w:t>»</w:t>
      </w:r>
      <w:r>
        <w:rPr>
          <w:rFonts w:cs="Times New Roman" w:ascii="Times New Roman" w:hAnsi="Times New Roman"/>
          <w:color w:val="000000"/>
        </w:rPr>
        <w:t>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</w:rPr>
        <w:t>2) </w:t>
      </w:r>
      <w:r>
        <w:rPr>
          <w:rFonts w:cs="Times New Roman" w:ascii="Times New Roman" w:hAnsi="Times New Roman"/>
          <w:color w:val="000000"/>
          <w:szCs w:val="28"/>
        </w:rPr>
        <w:t>таблицу и схему</w:t>
      </w:r>
      <w:r>
        <w:rPr>
          <w:rFonts w:cs="Times New Roman" w:ascii="Times New Roman" w:hAnsi="Times New Roman"/>
          <w:color w:val="000000"/>
          <w:szCs w:val="28"/>
        </w:rPr>
        <w:t xml:space="preserve"> места размещения с условными обозначениями порядкового номера пункта 253 текстового раздела схемы </w:t>
      </w:r>
      <w:r>
        <w:rPr>
          <w:rFonts w:cs="Times New Roman" w:ascii="Times New Roman" w:hAnsi="Times New Roman"/>
          <w:color w:val="000000"/>
          <w:szCs w:val="28"/>
        </w:rPr>
        <w:t>изложить в следующей редакции</w:t>
      </w:r>
      <w:r>
        <w:rPr>
          <w:rFonts w:cs="Times New Roman" w:ascii="Times New Roman" w:hAnsi="Times New Roman"/>
          <w:color w:val="000000"/>
          <w:szCs w:val="28"/>
        </w:rPr>
        <w:t>:</w:t>
      </w:r>
    </w:p>
    <w:p>
      <w:pPr>
        <w:pStyle w:val="Normal"/>
        <w:jc w:val="both"/>
        <w:rPr>
          <w:color w:val="000000"/>
        </w:rPr>
      </w:pPr>
      <w:r>
        <w:rPr>
          <w:rFonts w:ascii="Times New Roman" w:hAnsi="Times New Roman"/>
          <w:color w:val="000000"/>
          <w:szCs w:val="28"/>
        </w:rPr>
        <w:t>«</w:t>
      </w:r>
    </w:p>
    <w:tbl>
      <w:tblPr>
        <w:tblW w:w="4900" w:type="pct"/>
        <w:jc w:val="center"/>
        <w:tblInd w:w="0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5721"/>
        <w:gridCol w:w="3722"/>
      </w:tblGrid>
      <w:tr>
        <w:trPr>
          <w:trHeight w:val="281" w:hRule="atLeast"/>
        </w:trPr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Порядковый номер пункта текстового раздела схемы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253</w:t>
            </w:r>
          </w:p>
        </w:tc>
      </w:tr>
      <w:tr>
        <w:trPr>
          <w:trHeight w:val="440" w:hRule="atLeast"/>
        </w:trPr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Адресные ориентиры размещения нестационарного торгового объекта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улица Веры Соломиной, 7</w:t>
            </w:r>
          </w:p>
        </w:tc>
      </w:tr>
      <w:tr>
        <w:trPr>
          <w:trHeight w:val="281" w:hRule="atLeast"/>
        </w:trPr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Площадь размещения нестационарного торгового объекта (кв. м)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116</w:t>
            </w:r>
          </w:p>
        </w:tc>
      </w:tr>
      <w:tr>
        <w:trPr>
          <w:trHeight w:val="281" w:hRule="atLeast"/>
        </w:trPr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Площадь земельного участка, земель или части земельного участка, необходимая для размещения нестационарного торгового объекта (кв. м)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116</w:t>
            </w:r>
          </w:p>
        </w:tc>
      </w:tr>
      <w:tr>
        <w:trPr>
          <w:trHeight w:val="281" w:hRule="atLeast"/>
        </w:trPr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Тип нестационарного торгового объекта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торговый павильон</w:t>
            </w:r>
          </w:p>
        </w:tc>
      </w:tr>
      <w:tr>
        <w:trPr>
          <w:trHeight w:val="281" w:hRule="atLeast"/>
        </w:trPr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Специализация торговли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color w:val="000000"/>
              </w:rPr>
            </w:pP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специализированная (продажа продовольственных товаров и сельскохозяйственной продукции)</w:t>
            </w:r>
          </w:p>
        </w:tc>
      </w:tr>
      <w:tr>
        <w:trPr>
          <w:trHeight w:val="1160" w:hRule="atLeast"/>
        </w:trPr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482" w:leader="none"/>
              </w:tabs>
              <w:jc w:val="righ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drawing>
          <wp:inline distT="0" distB="0" distL="0" distR="0">
            <wp:extent cx="6065520" cy="3930650"/>
            <wp:effectExtent l="0" t="0" r="0" b="0"/>
            <wp:docPr id="2" name="Рисунок 1 Копия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 Копия 5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393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240" w:after="240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Масштаб 1:500</w:t>
      </w:r>
    </w:p>
    <w:tbl>
      <w:tblPr>
        <w:tblStyle w:val="afffff6"/>
        <w:tblW w:w="9747" w:type="dxa"/>
        <w:jc w:val="left"/>
        <w:tblInd w:w="108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2802"/>
        <w:gridCol w:w="6944"/>
      </w:tblGrid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Условные обозначения:</w: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4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104140</wp:posOffset>
                      </wp:positionV>
                      <wp:extent cx="1038225" cy="9525"/>
                      <wp:effectExtent l="1270" t="1270" r="635" b="635"/>
                      <wp:wrapNone/>
                      <wp:docPr id="3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38240" cy="9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path="m,l21600,21600nfe">
                      <v:stroke joinstyle="miter"/>
                      <v:path gradientshapeok="t" o:connecttype="rect" textboxrect="0,0,21600,21600"/>
                    </v:shapetype>
                    <v:shape id="shape_0" stroked="t" o:allowincell="f" style="position:absolute;margin-left:17.6pt;margin-top:8.2pt;width:81.7pt;height:0.7pt;flip:y;mso-wrap-style:none;v-text-anchor:middle" type="_x0000_t32">
                      <v:fill o:detectmouseclick="t" on="false"/>
                      <v:stroke color="black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граница места размещения нестационарного торгового объекта;</w:t>
            </w:r>
          </w:p>
        </w:tc>
      </w:tr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3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214630</wp:posOffset>
                      </wp:positionV>
                      <wp:extent cx="1095375" cy="635"/>
                      <wp:effectExtent l="635" t="38735" r="0" b="38100"/>
                      <wp:wrapNone/>
                      <wp:docPr id="4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48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headEnd len="med" type="triangle" w="med"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stroked="t" o:allowincell="f" style="position:absolute;margin-left:17.6pt;margin-top:16.9pt;width:86.2pt;height:0pt;mso-wrap-style:none;v-text-anchor:middle" type="_x0000_t32">
                      <v:fill o:detectmouseclick="t" on="false"/>
                      <v:stroke color="black" startarrow="block" endarrow="block" startarrowwidth="medium" startarrowlength="medium" endarrowwidth="medium" endarrowlength="medium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расстояние до существующих элементов благоустройства, дорожных знаков, светофоров, объектов капитального строительства</w:t>
            </w:r>
          </w:p>
        </w:tc>
      </w:tr>
    </w:tbl>
    <w:p>
      <w:pPr>
        <w:pStyle w:val="Normal"/>
        <w:ind w:firstLine="709"/>
        <w:jc w:val="right"/>
        <w:rPr>
          <w:color w:val="000000"/>
        </w:rPr>
      </w:pPr>
      <w:r>
        <w:rPr>
          <w:rFonts w:ascii="Times New Roman" w:hAnsi="Times New Roman"/>
          <w:color w:val="000000"/>
          <w:szCs w:val="28"/>
        </w:rPr>
        <w:t>»;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</w:rPr>
        <w:t xml:space="preserve">3) в графе 2 строки «Специализация торговли» таблицы порядкового номера пункта 254 текстового раздела схемы слова </w:t>
      </w:r>
      <w:r>
        <w:rPr>
          <w:rFonts w:cs="Times New Roman" w:ascii="Times New Roman" w:hAnsi="Times New Roman"/>
          <w:color w:val="000000"/>
          <w:szCs w:val="28"/>
        </w:rPr>
        <w:t>«</w:t>
      </w:r>
      <w:r>
        <w:rPr>
          <w:rFonts w:eastAsia="Times New Roman" w:cs="Times New Roman" w:ascii="Times New Roman" w:hAnsi="Times New Roman"/>
          <w:color w:val="000000"/>
          <w:szCs w:val="28"/>
        </w:rPr>
        <w:t>специализированная (продажа продукции общественного питания)</w:t>
      </w:r>
      <w:r>
        <w:rPr>
          <w:rFonts w:cs="Times New Roman" w:ascii="Times New Roman" w:hAnsi="Times New Roman"/>
          <w:color w:val="000000"/>
          <w:szCs w:val="28"/>
        </w:rPr>
        <w:t>» заменить словами «специализированная (</w:t>
      </w:r>
      <w:r>
        <w:rPr>
          <w:rFonts w:eastAsia="Times New Roman" w:cs="Times New Roman" w:ascii="Times New Roman" w:hAnsi="Times New Roman"/>
          <w:color w:val="000000"/>
          <w:szCs w:val="28"/>
        </w:rPr>
        <w:t>продажа печатной продукции)</w:t>
      </w:r>
      <w:r>
        <w:rPr>
          <w:rFonts w:cs="Times New Roman" w:ascii="Times New Roman" w:hAnsi="Times New Roman"/>
          <w:color w:val="000000"/>
          <w:szCs w:val="28"/>
        </w:rPr>
        <w:t>».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2. В приложении №4 «Схема размещения нестационарных торговых объектов на территории Новоильинского района Новокузнецкого городского округа»: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 xml:space="preserve">2.1. Раздел </w:t>
      </w:r>
      <w:r>
        <w:rPr>
          <w:rFonts w:cs="Times New Roman" w:ascii="Times New Roman" w:hAnsi="Times New Roman"/>
          <w:color w:val="000000"/>
          <w:szCs w:val="28"/>
          <w:lang w:val="en-US"/>
        </w:rPr>
        <w:t>I</w:t>
      </w:r>
      <w:r>
        <w:rPr>
          <w:rFonts w:cs="Times New Roman" w:ascii="Times New Roman" w:hAnsi="Times New Roman"/>
          <w:color w:val="000000"/>
          <w:szCs w:val="28"/>
        </w:rPr>
        <w:t xml:space="preserve"> «Текстовая часть» дополнить строкой </w:t>
      </w:r>
      <w:r>
        <w:rPr>
          <w:rFonts w:ascii="Times New Roman" w:hAnsi="Times New Roman"/>
          <w:color w:val="000000"/>
          <w:szCs w:val="28"/>
        </w:rPr>
        <w:t>149 следующего содержания:</w:t>
      </w:r>
    </w:p>
    <w:p>
      <w:pPr>
        <w:pStyle w:val="Normal"/>
        <w:jc w:val="both"/>
        <w:rPr>
          <w:color w:val="000000"/>
        </w:rPr>
      </w:pPr>
      <w:r>
        <w:rPr>
          <w:rFonts w:ascii="Times New Roman" w:hAnsi="Times New Roman"/>
          <w:color w:val="000000"/>
          <w:szCs w:val="28"/>
        </w:rPr>
        <w:t>«</w:t>
      </w:r>
    </w:p>
    <w:tbl>
      <w:tblPr>
        <w:tblW w:w="4850" w:type="pct"/>
        <w:jc w:val="left"/>
        <w:tblInd w:w="221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691"/>
        <w:gridCol w:w="1980"/>
        <w:gridCol w:w="692"/>
        <w:gridCol w:w="628"/>
        <w:gridCol w:w="1290"/>
        <w:gridCol w:w="2416"/>
        <w:gridCol w:w="1649"/>
      </w:tblGrid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149.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улица Березовая роща, 30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торговый павильон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482" w:leader="none"/>
              </w:tabs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ind w:firstLine="567"/>
        <w:jc w:val="right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».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2.2. Раздел</w:t>
      </w:r>
      <w:r>
        <w:rPr>
          <w:rFonts w:cs="Times New Roman" w:ascii="Times New Roman" w:hAnsi="Times New Roman"/>
          <w:color w:val="000000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Cs w:val="28"/>
          <w:lang w:val="en-US"/>
        </w:rPr>
        <w:t>II</w:t>
      </w:r>
      <w:r>
        <w:rPr>
          <w:rFonts w:cs="Times New Roman" w:ascii="Times New Roman" w:hAnsi="Times New Roman"/>
          <w:color w:val="000000"/>
          <w:szCs w:val="28"/>
        </w:rPr>
        <w:t xml:space="preserve"> «Графическая часть» </w:t>
      </w:r>
      <w:r>
        <w:rPr>
          <w:rFonts w:cs="Times New Roman" w:ascii="Times New Roman" w:hAnsi="Times New Roman"/>
          <w:color w:val="000000"/>
          <w:szCs w:val="28"/>
        </w:rPr>
        <w:t>дополнить таблицей и схемой</w:t>
      </w:r>
      <w:r>
        <w:rPr>
          <w:rFonts w:cs="Times New Roman" w:ascii="Times New Roman" w:hAnsi="Times New Roman"/>
          <w:color w:val="000000"/>
          <w:szCs w:val="28"/>
        </w:rPr>
        <w:t xml:space="preserve"> места размещения с условными обозначениями порядкового номера пункта 149 текстового раздела схемы </w:t>
      </w:r>
      <w:r>
        <w:rPr>
          <w:rFonts w:cs="Times New Roman" w:ascii="Times New Roman" w:hAnsi="Times New Roman"/>
          <w:color w:val="000000"/>
          <w:szCs w:val="28"/>
        </w:rPr>
        <w:t>следующего содержания</w:t>
      </w:r>
      <w:r>
        <w:rPr>
          <w:rFonts w:cs="Times New Roman" w:ascii="Times New Roman" w:hAnsi="Times New Roman"/>
          <w:color w:val="000000"/>
          <w:szCs w:val="28"/>
        </w:rPr>
        <w:t>:</w:t>
      </w:r>
    </w:p>
    <w:p>
      <w:pPr>
        <w:pStyle w:val="Normal"/>
        <w:jc w:val="left"/>
        <w:rPr>
          <w:color w:val="000000"/>
        </w:rPr>
      </w:pPr>
      <w:r>
        <w:rPr>
          <w:color w:val="000000"/>
          <w:szCs w:val="28"/>
        </w:rPr>
        <w:t>«</w:t>
      </w:r>
    </w:p>
    <w:tbl>
      <w:tblPr>
        <w:tblW w:w="5000" w:type="pct"/>
        <w:jc w:val="left"/>
        <w:tblInd w:w="113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6062"/>
        <w:gridCol w:w="3574"/>
      </w:tblGrid>
      <w:tr>
        <w:trPr>
          <w:trHeight w:val="281" w:hRule="atLeast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Порядковый номер пункта текстового раздела схемы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149</w:t>
            </w:r>
          </w:p>
        </w:tc>
      </w:tr>
      <w:tr>
        <w:trPr>
          <w:trHeight w:val="440" w:hRule="atLeast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Адресные ориентиры размещения нестационарного торгового объекта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улица Березовая роща, 30</w:t>
            </w:r>
          </w:p>
        </w:tc>
      </w:tr>
      <w:tr>
        <w:trPr>
          <w:trHeight w:val="281" w:hRule="atLeast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Площадь размещения нестационарного торгового объекта (кв. м)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40</w:t>
            </w:r>
          </w:p>
        </w:tc>
      </w:tr>
      <w:tr>
        <w:trPr>
          <w:trHeight w:val="281" w:hRule="atLeast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Площадь земельного участка, земель или части земельного участка, необходимая для размещения нестационарного торгового объекта (кв. м)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40</w:t>
            </w:r>
          </w:p>
        </w:tc>
      </w:tr>
      <w:tr>
        <w:trPr>
          <w:trHeight w:val="281" w:hRule="atLeast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Тип нестационарного торгового объекта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торговый павильон</w:t>
            </w:r>
          </w:p>
        </w:tc>
      </w:tr>
      <w:tr>
        <w:trPr>
          <w:trHeight w:val="281" w:hRule="atLeast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Специализация торговли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специализированная (продажа продовольственных товаров и сельскохозяйственной продукции)</w:t>
            </w:r>
          </w:p>
        </w:tc>
      </w:tr>
      <w:tr>
        <w:trPr>
          <w:trHeight w:val="1160" w:hRule="atLeast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482" w:leader="none"/>
              </w:tabs>
              <w:jc w:val="righ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drawing>
          <wp:inline distT="0" distB="0" distL="0" distR="0">
            <wp:extent cx="6029325" cy="3037840"/>
            <wp:effectExtent l="0" t="0" r="0" b="0"/>
            <wp:docPr id="5" name="Рисунок 3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03784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spacing w:before="240" w:after="240"/>
        <w:rPr>
          <w:color w:val="000000"/>
        </w:rPr>
      </w:pPr>
      <w:r>
        <w:rPr>
          <w:color w:val="000000"/>
        </w:rPr>
        <w:t>Масштаб 1:500</w:t>
      </w:r>
    </w:p>
    <w:tbl>
      <w:tblPr>
        <w:tblStyle w:val="afffff6"/>
        <w:tblW w:w="9747" w:type="dxa"/>
        <w:jc w:val="left"/>
        <w:tblInd w:w="108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2802"/>
        <w:gridCol w:w="6944"/>
      </w:tblGrid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Условные обозначения:</w: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6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104140</wp:posOffset>
                      </wp:positionV>
                      <wp:extent cx="1038225" cy="9525"/>
                      <wp:effectExtent l="1270" t="1270" r="635" b="635"/>
                      <wp:wrapNone/>
                      <wp:docPr id="6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38240" cy="9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stroked="t" o:allowincell="f" style="position:absolute;margin-left:17.6pt;margin-top:8.2pt;width:81.7pt;height:0.7pt;flip:y;mso-wrap-style:none;v-text-anchor:middle" type="_x0000_t32">
                      <v:fill o:detectmouseclick="t" on="false"/>
                      <v:stroke color="black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граница места размещения нестационарного торгового объекта;</w:t>
            </w:r>
          </w:p>
        </w:tc>
      </w:tr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5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214630</wp:posOffset>
                      </wp:positionV>
                      <wp:extent cx="1095375" cy="635"/>
                      <wp:effectExtent l="635" t="38735" r="0" b="38100"/>
                      <wp:wrapNone/>
                      <wp:docPr id="7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48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headEnd len="med" type="triangle" w="med"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stroked="t" o:allowincell="f" style="position:absolute;margin-left:17.6pt;margin-top:16.9pt;width:86.2pt;height:0pt;mso-wrap-style:none;v-text-anchor:middle" type="_x0000_t32">
                      <v:fill o:detectmouseclick="t" on="false"/>
                      <v:stroke color="black" startarrow="block" endarrow="block" startarrowwidth="medium" startarrowlength="medium" endarrowwidth="medium" endarrowlength="medium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расстояние до существующих элементов благоустройства, дорожных знаков, светофоров, объектов капитального строительства</w:t>
            </w:r>
          </w:p>
        </w:tc>
      </w:tr>
    </w:tbl>
    <w:p>
      <w:pPr>
        <w:pStyle w:val="Normal"/>
        <w:ind w:firstLine="709"/>
        <w:jc w:val="right"/>
        <w:rPr>
          <w:color w:val="000000"/>
        </w:rPr>
      </w:pPr>
      <w:r>
        <w:rPr>
          <w:rFonts w:cs="Times New Roman" w:ascii="Times New Roman" w:hAnsi="Times New Roman"/>
          <w:color w:val="000000"/>
        </w:rPr>
        <w:t>».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3. В приложении №5 «Схема размещения нестационарных торговых объектов на территории Заводского района Новокузнецкого городского округа»: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3.1. В графах 3 и 4 строки</w:t>
      </w:r>
      <w:r>
        <w:rPr>
          <w:rFonts w:cs="Times New Roman" w:ascii="Times New Roman" w:hAnsi="Times New Roman"/>
          <w:color w:val="000000"/>
          <w:szCs w:val="28"/>
        </w:rPr>
        <w:t xml:space="preserve"> 69 </w:t>
      </w:r>
      <w:r>
        <w:rPr>
          <w:rFonts w:cs="Times New Roman" w:ascii="Times New Roman" w:hAnsi="Times New Roman"/>
          <w:color w:val="000000"/>
          <w:szCs w:val="28"/>
        </w:rPr>
        <w:t xml:space="preserve">таблицы раздела </w:t>
      </w:r>
      <w:r>
        <w:rPr>
          <w:rFonts w:cs="Times New Roman" w:ascii="Times New Roman" w:hAnsi="Times New Roman"/>
          <w:color w:val="000000"/>
          <w:szCs w:val="28"/>
          <w:lang w:val="en-US"/>
        </w:rPr>
        <w:t>I</w:t>
      </w:r>
      <w:r>
        <w:rPr>
          <w:rFonts w:cs="Times New Roman" w:ascii="Times New Roman" w:hAnsi="Times New Roman"/>
          <w:color w:val="000000"/>
          <w:szCs w:val="28"/>
        </w:rPr>
        <w:t xml:space="preserve"> «Текстовая часть» </w:t>
      </w:r>
      <w:r>
        <w:rPr>
          <w:rFonts w:cs="Times New Roman" w:ascii="Times New Roman" w:hAnsi="Times New Roman"/>
          <w:color w:val="000000"/>
          <w:szCs w:val="28"/>
        </w:rPr>
        <w:t>цифру «9» заменить цифр</w:t>
      </w:r>
      <w:r>
        <w:rPr>
          <w:rFonts w:cs="Times New Roman" w:ascii="Times New Roman" w:hAnsi="Times New Roman"/>
          <w:color w:val="000000"/>
          <w:szCs w:val="28"/>
        </w:rPr>
        <w:t>ами</w:t>
      </w:r>
      <w:r>
        <w:rPr>
          <w:rFonts w:cs="Times New Roman" w:ascii="Times New Roman" w:hAnsi="Times New Roman"/>
          <w:color w:val="000000"/>
          <w:szCs w:val="28"/>
        </w:rPr>
        <w:t xml:space="preserve"> «</w:t>
      </w:r>
      <w:r>
        <w:rPr>
          <w:rFonts w:eastAsia="Times New Roman" w:cs="Times New Roman" w:ascii="Times New Roman" w:hAnsi="Times New Roman"/>
          <w:color w:val="000000"/>
          <w:szCs w:val="28"/>
        </w:rPr>
        <w:t>15</w:t>
      </w:r>
      <w:r>
        <w:rPr>
          <w:rFonts w:cs="Times New Roman" w:ascii="Times New Roman" w:hAnsi="Times New Roman"/>
          <w:color w:val="000000"/>
          <w:szCs w:val="28"/>
        </w:rPr>
        <w:t>».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3.2.</w:t>
      </w:r>
      <w:r>
        <w:rPr>
          <w:rFonts w:cs="Times New Roman" w:ascii="Times New Roman" w:hAnsi="Times New Roman"/>
          <w:color w:val="000000"/>
          <w:szCs w:val="28"/>
        </w:rPr>
        <w:t> </w:t>
      </w:r>
      <w:r>
        <w:rPr>
          <w:rFonts w:cs="Times New Roman" w:ascii="Times New Roman" w:hAnsi="Times New Roman"/>
          <w:color w:val="000000"/>
          <w:szCs w:val="28"/>
        </w:rPr>
        <w:t xml:space="preserve">В разделе </w:t>
      </w:r>
      <w:r>
        <w:rPr>
          <w:rFonts w:cs="Times New Roman" w:ascii="Times New Roman" w:hAnsi="Times New Roman"/>
          <w:color w:val="000000"/>
          <w:szCs w:val="28"/>
          <w:lang w:val="en-US"/>
        </w:rPr>
        <w:t>II</w:t>
      </w:r>
      <w:r>
        <w:rPr>
          <w:rFonts w:cs="Times New Roman" w:ascii="Times New Roman" w:hAnsi="Times New Roman"/>
          <w:color w:val="000000"/>
          <w:szCs w:val="28"/>
        </w:rPr>
        <w:t xml:space="preserve"> «Графическая часть» таблицу и схему места</w:t>
      </w:r>
      <w:r>
        <w:rPr>
          <w:rFonts w:cs="Times New Roman" w:ascii="Times New Roman" w:hAnsi="Times New Roman"/>
          <w:color w:val="000000"/>
          <w:szCs w:val="28"/>
        </w:rPr>
        <w:t xml:space="preserve"> размещения с условными обозначениями порядкового номера пункта 69 текстового раздела схемы </w:t>
      </w:r>
      <w:r>
        <w:rPr>
          <w:rFonts w:cs="Times New Roman" w:ascii="Times New Roman" w:hAnsi="Times New Roman"/>
          <w:color w:val="000000"/>
          <w:szCs w:val="28"/>
        </w:rPr>
        <w:t>изложить в следующей редакции: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Cs w:val="28"/>
        </w:rPr>
        <w:t>«</w:t>
      </w:r>
    </w:p>
    <w:tbl>
      <w:tblPr>
        <w:tblW w:w="5000" w:type="pct"/>
        <w:jc w:val="center"/>
        <w:tblInd w:w="0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6062"/>
        <w:gridCol w:w="3574"/>
      </w:tblGrid>
      <w:tr>
        <w:trPr>
          <w:trHeight w:val="281" w:hRule="atLeast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>Порядковый номер пункта текстового раздела схемы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>69</w:t>
            </w:r>
          </w:p>
        </w:tc>
      </w:tr>
      <w:tr>
        <w:trPr>
          <w:trHeight w:val="440" w:hRule="atLeast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>Адресные ориентиры размещения нестационарного торгового объекта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>улица Тореза, 20</w:t>
            </w:r>
          </w:p>
        </w:tc>
      </w:tr>
      <w:tr>
        <w:trPr>
          <w:trHeight w:val="281" w:hRule="atLeast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>Площадь размещения нестационарного торгового объекта (кв. м)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>15</w:t>
            </w:r>
          </w:p>
        </w:tc>
      </w:tr>
      <w:tr>
        <w:trPr>
          <w:trHeight w:val="281" w:hRule="atLeast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>Площадь земельного участка, земель или части земельного участка, необходимая для размещения нестационарного торгового объекта (кв. м)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>15</w:t>
            </w:r>
          </w:p>
        </w:tc>
      </w:tr>
      <w:tr>
        <w:trPr>
          <w:trHeight w:val="281" w:hRule="atLeast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>Тип нестационарного торгового объекта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>торговый павильон</w:t>
            </w:r>
          </w:p>
        </w:tc>
      </w:tr>
      <w:tr>
        <w:trPr>
          <w:trHeight w:val="281" w:hRule="atLeast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>Специализация торговли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специализированная (продажа продукции общественного питания)</w:t>
            </w:r>
            <w:bookmarkStart w:id="1" w:name="_GoBack_Копия_1"/>
            <w:bookmarkEnd w:id="1"/>
          </w:p>
        </w:tc>
      </w:tr>
      <w:tr>
        <w:trPr>
          <w:trHeight w:val="1160" w:hRule="atLeast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482" w:leader="none"/>
              </w:tabs>
              <w:jc w:val="righ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drawing>
          <wp:inline distT="0" distB="0" distL="0" distR="0">
            <wp:extent cx="5890260" cy="3698875"/>
            <wp:effectExtent l="0" t="0" r="0" b="0"/>
            <wp:docPr id="8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369887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spacing w:before="240" w:after="240"/>
        <w:rPr>
          <w:color w:val="000000"/>
        </w:rPr>
      </w:pPr>
      <w:r>
        <w:rPr>
          <w:color w:val="000000"/>
        </w:rPr>
        <w:t>Масштаб 1:500</w:t>
      </w:r>
    </w:p>
    <w:tbl>
      <w:tblPr>
        <w:tblStyle w:val="afffff6"/>
        <w:tblW w:w="9747" w:type="dxa"/>
        <w:jc w:val="left"/>
        <w:tblInd w:w="108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2802"/>
        <w:gridCol w:w="6944"/>
      </w:tblGrid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Условные обозначения:</w: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8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104140</wp:posOffset>
                      </wp:positionV>
                      <wp:extent cx="1038225" cy="9525"/>
                      <wp:effectExtent l="1270" t="1270" r="635" b="635"/>
                      <wp:wrapNone/>
                      <wp:docPr id="9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38240" cy="9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stroked="t" o:allowincell="f" style="position:absolute;margin-left:17.6pt;margin-top:8.2pt;width:81.7pt;height:0.7pt;flip:y;mso-wrap-style:none;v-text-anchor:middle" type="_x0000_t32">
                      <v:fill o:detectmouseclick="t" on="false"/>
                      <v:stroke color="black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граница места размещения нестационарного торгового объекта;</w:t>
            </w:r>
          </w:p>
        </w:tc>
      </w:tr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7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214630</wp:posOffset>
                      </wp:positionV>
                      <wp:extent cx="1095375" cy="635"/>
                      <wp:effectExtent l="635" t="38735" r="0" b="38100"/>
                      <wp:wrapNone/>
                      <wp:docPr id="10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48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headEnd len="med" type="triangle" w="med"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stroked="t" o:allowincell="f" style="position:absolute;margin-left:17.6pt;margin-top:16.9pt;width:86.2pt;height:0pt;mso-wrap-style:none;v-text-anchor:middle" type="_x0000_t32">
                      <v:fill o:detectmouseclick="t" on="false"/>
                      <v:stroke color="black" startarrow="block" endarrow="block" startarrowwidth="medium" startarrowlength="medium" endarrowwidth="medium" endarrowlength="medium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расстояние до существующих элементов благоустройства, дорожных знаков, светофоров, объектов капитального строительства</w:t>
            </w:r>
          </w:p>
        </w:tc>
      </w:tr>
    </w:tbl>
    <w:p>
      <w:pPr>
        <w:pStyle w:val="Normal"/>
        <w:ind w:firstLine="709"/>
        <w:jc w:val="right"/>
        <w:rPr>
          <w:color w:val="000000"/>
        </w:rPr>
      </w:pPr>
      <w:r>
        <w:rPr>
          <w:rFonts w:cs="Times New Roman" w:ascii="Times New Roman" w:hAnsi="Times New Roman"/>
          <w:color w:val="000000"/>
        </w:rPr>
        <w:t>».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4. В приложении №6 «Схема размещения нестационарных торговых объектов на территории Орджоникидзевского района Новокузнецкого городского округа»: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 xml:space="preserve">4.1. В </w:t>
      </w:r>
      <w:r>
        <w:rPr>
          <w:rFonts w:cs="Times New Roman" w:ascii="Times New Roman" w:hAnsi="Times New Roman"/>
          <w:color w:val="000000"/>
          <w:szCs w:val="28"/>
        </w:rPr>
        <w:t xml:space="preserve">графе 5 строк </w:t>
      </w:r>
      <w:r>
        <w:rPr>
          <w:rFonts w:cs="Times New Roman" w:ascii="Times New Roman" w:hAnsi="Times New Roman"/>
          <w:color w:val="000000"/>
          <w:szCs w:val="28"/>
        </w:rPr>
        <w:t>21, 28, 67 и 71</w:t>
      </w:r>
      <w:r>
        <w:rPr>
          <w:rFonts w:cs="Times New Roman" w:ascii="Times New Roman" w:hAnsi="Times New Roman"/>
          <w:color w:val="000000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Cs w:val="28"/>
        </w:rPr>
        <w:t>таблицы</w:t>
      </w:r>
      <w:r>
        <w:rPr>
          <w:rFonts w:cs="Times New Roman" w:ascii="Times New Roman" w:hAnsi="Times New Roman"/>
          <w:color w:val="000000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Cs w:val="28"/>
        </w:rPr>
        <w:t xml:space="preserve">раздела </w:t>
      </w:r>
      <w:r>
        <w:rPr>
          <w:rFonts w:cs="Times New Roman" w:ascii="Times New Roman" w:hAnsi="Times New Roman"/>
          <w:color w:val="000000"/>
          <w:szCs w:val="28"/>
          <w:lang w:val="en-US"/>
        </w:rPr>
        <w:t>I</w:t>
      </w:r>
      <w:r>
        <w:rPr>
          <w:rFonts w:cs="Times New Roman" w:ascii="Times New Roman" w:hAnsi="Times New Roman"/>
          <w:color w:val="000000"/>
          <w:szCs w:val="28"/>
        </w:rPr>
        <w:t xml:space="preserve"> «Текстовая часть» </w:t>
      </w:r>
      <w:r>
        <w:rPr>
          <w:rFonts w:cs="Times New Roman" w:ascii="Times New Roman" w:hAnsi="Times New Roman"/>
          <w:color w:val="000000"/>
          <w:szCs w:val="28"/>
        </w:rPr>
        <w:t>слов</w:t>
      </w:r>
      <w:r>
        <w:rPr>
          <w:rFonts w:cs="Times New Roman" w:ascii="Times New Roman" w:hAnsi="Times New Roman"/>
          <w:color w:val="000000"/>
          <w:szCs w:val="28"/>
        </w:rPr>
        <w:t>о</w:t>
      </w:r>
      <w:r>
        <w:rPr>
          <w:rFonts w:cs="Times New Roman" w:ascii="Times New Roman" w:hAnsi="Times New Roman"/>
          <w:color w:val="000000"/>
          <w:szCs w:val="28"/>
        </w:rPr>
        <w:t xml:space="preserve"> «киоск» заменить словами «</w:t>
      </w:r>
      <w:r>
        <w:rPr>
          <w:rFonts w:eastAsia="Times New Roman" w:cs="Times New Roman" w:ascii="Times New Roman" w:hAnsi="Times New Roman"/>
          <w:color w:val="000000"/>
          <w:szCs w:val="28"/>
        </w:rPr>
        <w:t>торговый павильон</w:t>
      </w:r>
      <w:r>
        <w:rPr>
          <w:rFonts w:cs="Times New Roman" w:ascii="Times New Roman" w:hAnsi="Times New Roman"/>
          <w:color w:val="000000"/>
          <w:szCs w:val="28"/>
        </w:rPr>
        <w:t>».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4.2. В</w:t>
      </w:r>
      <w:r>
        <w:rPr>
          <w:rFonts w:cs="Times New Roman" w:ascii="Times New Roman" w:hAnsi="Times New Roman"/>
          <w:color w:val="000000"/>
          <w:szCs w:val="28"/>
        </w:rPr>
        <w:t xml:space="preserve"> графе 2 строки «Тип нестационарного торгового объекта» </w:t>
      </w:r>
      <w:r>
        <w:rPr>
          <w:rFonts w:cs="Times New Roman" w:ascii="Times New Roman" w:hAnsi="Times New Roman"/>
          <w:color w:val="000000"/>
          <w:szCs w:val="28"/>
        </w:rPr>
        <w:t>таблиц</w:t>
      </w:r>
      <w:r>
        <w:rPr>
          <w:rFonts w:cs="Times New Roman" w:ascii="Times New Roman" w:hAnsi="Times New Roman"/>
          <w:color w:val="000000"/>
          <w:szCs w:val="28"/>
        </w:rPr>
        <w:t xml:space="preserve"> порядков</w:t>
      </w:r>
      <w:r>
        <w:rPr>
          <w:rFonts w:cs="Times New Roman" w:ascii="Times New Roman" w:hAnsi="Times New Roman"/>
          <w:color w:val="000000"/>
          <w:szCs w:val="28"/>
        </w:rPr>
        <w:t>ых</w:t>
      </w:r>
      <w:r>
        <w:rPr>
          <w:rFonts w:cs="Times New Roman" w:ascii="Times New Roman" w:hAnsi="Times New Roman"/>
          <w:color w:val="000000"/>
          <w:szCs w:val="28"/>
        </w:rPr>
        <w:t xml:space="preserve"> номер</w:t>
      </w:r>
      <w:r>
        <w:rPr>
          <w:rFonts w:cs="Times New Roman" w:ascii="Times New Roman" w:hAnsi="Times New Roman"/>
          <w:color w:val="000000"/>
          <w:szCs w:val="28"/>
        </w:rPr>
        <w:t>ов</w:t>
      </w:r>
      <w:r>
        <w:rPr>
          <w:rFonts w:cs="Times New Roman" w:ascii="Times New Roman" w:hAnsi="Times New Roman"/>
          <w:color w:val="000000"/>
          <w:szCs w:val="28"/>
        </w:rPr>
        <w:t xml:space="preserve"> пункт</w:t>
      </w:r>
      <w:r>
        <w:rPr>
          <w:rFonts w:cs="Times New Roman" w:ascii="Times New Roman" w:hAnsi="Times New Roman"/>
          <w:color w:val="000000"/>
          <w:szCs w:val="28"/>
        </w:rPr>
        <w:t>ов</w:t>
      </w:r>
      <w:r>
        <w:rPr>
          <w:rFonts w:cs="Times New Roman" w:ascii="Times New Roman" w:hAnsi="Times New Roman"/>
          <w:color w:val="000000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Cs w:val="28"/>
        </w:rPr>
        <w:t xml:space="preserve">21, 28, 67 и 71 </w:t>
      </w:r>
      <w:r>
        <w:rPr>
          <w:rFonts w:cs="Times New Roman" w:ascii="Times New Roman" w:hAnsi="Times New Roman"/>
          <w:color w:val="000000"/>
          <w:szCs w:val="28"/>
        </w:rPr>
        <w:t xml:space="preserve">текстового раздела схемы </w:t>
      </w:r>
      <w:r>
        <w:rPr>
          <w:rFonts w:cs="Times New Roman" w:ascii="Times New Roman" w:hAnsi="Times New Roman"/>
          <w:color w:val="000000"/>
          <w:szCs w:val="28"/>
        </w:rPr>
        <w:t>раздела </w:t>
      </w:r>
      <w:r>
        <w:rPr>
          <w:rFonts w:cs="Times New Roman" w:ascii="Times New Roman" w:hAnsi="Times New Roman"/>
          <w:color w:val="000000"/>
          <w:szCs w:val="28"/>
          <w:lang w:val="en-US"/>
        </w:rPr>
        <w:t>II</w:t>
      </w:r>
      <w:r>
        <w:rPr>
          <w:rFonts w:cs="Times New Roman" w:ascii="Times New Roman" w:hAnsi="Times New Roman"/>
          <w:color w:val="000000"/>
          <w:szCs w:val="28"/>
        </w:rPr>
        <w:t xml:space="preserve"> «Графическая часть»</w:t>
      </w:r>
      <w:r>
        <w:rPr>
          <w:rFonts w:cs="Times New Roman" w:ascii="Times New Roman" w:hAnsi="Times New Roman"/>
          <w:color w:val="000000"/>
          <w:szCs w:val="28"/>
        </w:rPr>
        <w:t xml:space="preserve"> слов</w:t>
      </w:r>
      <w:r>
        <w:rPr>
          <w:rFonts w:cs="Times New Roman" w:ascii="Times New Roman" w:hAnsi="Times New Roman"/>
          <w:color w:val="000000"/>
          <w:szCs w:val="28"/>
        </w:rPr>
        <w:t>о</w:t>
      </w:r>
      <w:r>
        <w:rPr>
          <w:rFonts w:cs="Times New Roman" w:ascii="Times New Roman" w:hAnsi="Times New Roman"/>
          <w:color w:val="000000"/>
          <w:szCs w:val="28"/>
        </w:rPr>
        <w:t xml:space="preserve"> «киоск» заменить словами «</w:t>
      </w:r>
      <w:r>
        <w:rPr>
          <w:rFonts w:eastAsia="Times New Roman" w:cs="Times New Roman" w:ascii="Times New Roman" w:hAnsi="Times New Roman"/>
          <w:color w:val="000000"/>
          <w:szCs w:val="28"/>
        </w:rPr>
        <w:t>торговый павильон</w:t>
      </w:r>
      <w:r>
        <w:rPr>
          <w:rFonts w:cs="Times New Roman" w:ascii="Times New Roman" w:hAnsi="Times New Roman"/>
          <w:color w:val="000000"/>
          <w:szCs w:val="28"/>
        </w:rPr>
        <w:t>».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5. В приложении №7 «Схема размещения сезонных нестационарных торговых объектов на территории Новокузнецкого городского округа»: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5.1. В разделе</w:t>
      </w:r>
      <w:r>
        <w:rPr>
          <w:rFonts w:cs="Times New Roman" w:ascii="Times New Roman" w:hAnsi="Times New Roman"/>
          <w:color w:val="000000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Cs w:val="28"/>
          <w:lang w:val="en-US"/>
        </w:rPr>
        <w:t>I</w:t>
      </w:r>
      <w:r>
        <w:rPr>
          <w:rFonts w:cs="Times New Roman" w:ascii="Times New Roman" w:hAnsi="Times New Roman"/>
          <w:color w:val="000000"/>
          <w:szCs w:val="28"/>
        </w:rPr>
        <w:t xml:space="preserve"> «Текстовая часть</w:t>
      </w:r>
      <w:r>
        <w:rPr>
          <w:rFonts w:cs="Times New Roman" w:ascii="Times New Roman" w:hAnsi="Times New Roman"/>
          <w:color w:val="000000"/>
          <w:szCs w:val="28"/>
        </w:rPr>
        <w:t>»: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 xml:space="preserve">1) раздел «Куйбышевский район» таблицы </w:t>
      </w:r>
      <w:r>
        <w:rPr>
          <w:rFonts w:cs="Times New Roman" w:ascii="Times New Roman" w:hAnsi="Times New Roman"/>
          <w:color w:val="000000"/>
          <w:szCs w:val="28"/>
        </w:rPr>
        <w:t>дополнить строкой 33 следующего содержания:</w:t>
      </w:r>
    </w:p>
    <w:p>
      <w:pPr>
        <w:pStyle w:val="Normal"/>
        <w:ind w:hanging="426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«</w:t>
      </w:r>
    </w:p>
    <w:tbl>
      <w:tblPr>
        <w:tblW w:w="10491" w:type="dxa"/>
        <w:jc w:val="left"/>
        <w:tblInd w:w="-438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/>
      </w:tblPr>
      <w:tblGrid>
        <w:gridCol w:w="630"/>
        <w:gridCol w:w="2411"/>
        <w:gridCol w:w="578"/>
        <w:gridCol w:w="566"/>
        <w:gridCol w:w="1134"/>
        <w:gridCol w:w="1701"/>
        <w:gridCol w:w="993"/>
        <w:gridCol w:w="2476"/>
      </w:tblGrid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подъем Редаковский, 10 (Редаковское кладбище)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торговая палатка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универсальная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апрель-октябрь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482" w:leader="none"/>
              </w:tabs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ind w:firstLine="709"/>
        <w:jc w:val="right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»;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2) </w:t>
      </w:r>
      <w:r>
        <w:rPr>
          <w:rFonts w:cs="Times New Roman" w:ascii="Times New Roman" w:hAnsi="Times New Roman"/>
          <w:color w:val="000000"/>
          <w:szCs w:val="28"/>
        </w:rPr>
        <w:t>таблицу дополнить</w:t>
      </w:r>
      <w:r>
        <w:rPr>
          <w:rFonts w:cs="Times New Roman" w:ascii="Times New Roman" w:hAnsi="Times New Roman"/>
          <w:color w:val="000000"/>
          <w:szCs w:val="28"/>
        </w:rPr>
        <w:t xml:space="preserve"> разделом «Орджоникидзевский район» следующего содержания:</w:t>
      </w:r>
    </w:p>
    <w:p>
      <w:pPr>
        <w:pStyle w:val="Normal"/>
        <w:ind w:hanging="567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«</w:t>
      </w:r>
    </w:p>
    <w:tbl>
      <w:tblPr>
        <w:tblW w:w="10483" w:type="dxa"/>
        <w:jc w:val="left"/>
        <w:tblInd w:w="-438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/>
      </w:tblPr>
      <w:tblGrid>
        <w:gridCol w:w="630"/>
        <w:gridCol w:w="2348"/>
        <w:gridCol w:w="577"/>
        <w:gridCol w:w="567"/>
        <w:gridCol w:w="1122"/>
        <w:gridCol w:w="1702"/>
        <w:gridCol w:w="991"/>
        <w:gridCol w:w="2544"/>
      </w:tblGrid>
      <w:tr>
        <w:trPr>
          <w:trHeight w:val="302" w:hRule="atLeast"/>
        </w:trPr>
        <w:tc>
          <w:tcPr>
            <w:tcW w:w="104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Орджоникидзевский район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улица Слесарная, 28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торговая палатка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универсальная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апрель-октябрь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482" w:leader="none"/>
              </w:tabs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субъекты малого или среднего предпринимательства, самозанятые граждане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улица Слесарная, 28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торговая палатка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универсальная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апрель-октябрь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482" w:leader="none"/>
              </w:tabs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субъекты малого или среднего предпринимательства, самозанятые граждане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улица Слесарная, 28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торговая палатка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универсальная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апрель-октябрь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482" w:leader="none"/>
              </w:tabs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субъекты малого или среднего предпринимательства, самозанятые граждане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улица Слесарная, 28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торговая палатка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универсальная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апрель-октябрь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субъекты малого или среднего предпринимательства, самозанятые граждане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улица Слесарная, 28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торговая палатка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универсальная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апрель-октябрь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субъекты малого или среднего предпринимательства, самозанятые граждане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улица Слесарная, 28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торговая палатка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универсальная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апрель-октябрь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spacing w:before="0" w:after="240"/>
        <w:ind w:firstLine="709"/>
        <w:jc w:val="right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».</w:t>
      </w:r>
    </w:p>
    <w:p>
      <w:pPr>
        <w:pStyle w:val="Normal"/>
        <w:ind w:firstLine="567"/>
        <w:jc w:val="both"/>
        <w:rPr>
          <w:color w:val="000000"/>
        </w:rPr>
      </w:pPr>
      <w:r>
        <w:rPr>
          <w:rFonts w:ascii="Tinos" w:hAnsi="Tinos"/>
          <w:color w:val="000000"/>
          <w:szCs w:val="28"/>
        </w:rPr>
        <w:t xml:space="preserve">5.2. В разделе </w:t>
      </w:r>
      <w:r>
        <w:rPr>
          <w:rFonts w:ascii="Tinos" w:hAnsi="Tinos"/>
          <w:color w:val="000000"/>
          <w:szCs w:val="28"/>
          <w:lang w:val="en-US"/>
        </w:rPr>
        <w:t>II</w:t>
      </w:r>
      <w:r>
        <w:rPr>
          <w:rFonts w:ascii="Tinos" w:hAnsi="Tinos"/>
          <w:color w:val="000000"/>
          <w:szCs w:val="28"/>
        </w:rPr>
        <w:t xml:space="preserve"> «Графическая часть»:</w:t>
      </w:r>
    </w:p>
    <w:p>
      <w:pPr>
        <w:pStyle w:val="Normal"/>
        <w:ind w:firstLine="567"/>
        <w:jc w:val="both"/>
        <w:rPr>
          <w:color w:val="000000"/>
        </w:rPr>
      </w:pPr>
      <w:r>
        <w:rPr>
          <w:rFonts w:ascii="Tinos" w:hAnsi="Tinos"/>
          <w:color w:val="000000"/>
          <w:szCs w:val="28"/>
        </w:rPr>
        <w:t>1) </w:t>
      </w:r>
      <w:r>
        <w:rPr>
          <w:rFonts w:ascii="Tinos" w:hAnsi="Tinos"/>
          <w:color w:val="000000"/>
          <w:szCs w:val="28"/>
        </w:rPr>
        <w:t>подраздел 2 «Куйбышевский район»</w:t>
      </w:r>
      <w:r>
        <w:rPr>
          <w:rFonts w:ascii="Tinos" w:hAnsi="Tinos"/>
          <w:color w:val="000000"/>
          <w:szCs w:val="28"/>
        </w:rPr>
        <w:t xml:space="preserve"> дополнить</w:t>
      </w:r>
      <w:r>
        <w:rPr>
          <w:rFonts w:ascii="Tinos" w:hAnsi="Tinos"/>
          <w:color w:val="000000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Cs w:val="28"/>
        </w:rPr>
        <w:t>таблицей и схемой места</w:t>
      </w:r>
      <w:r>
        <w:rPr>
          <w:rFonts w:cs="Times New Roman" w:ascii="Times New Roman" w:hAnsi="Times New Roman"/>
          <w:color w:val="000000"/>
          <w:szCs w:val="28"/>
        </w:rPr>
        <w:t xml:space="preserve"> размещения с условными обозначениями порядкового номера пункта 33 текстового раздела схемы </w:t>
      </w:r>
      <w:r>
        <w:rPr>
          <w:rFonts w:ascii="Tinos" w:hAnsi="Tinos"/>
          <w:color w:val="000000"/>
          <w:szCs w:val="28"/>
        </w:rPr>
        <w:t>следующего содержания:</w:t>
      </w:r>
    </w:p>
    <w:p>
      <w:pPr>
        <w:pStyle w:val="Normal"/>
        <w:jc w:val="both"/>
        <w:rPr>
          <w:color w:val="000000"/>
        </w:rPr>
      </w:pPr>
      <w:r>
        <w:rPr>
          <w:rFonts w:ascii="Tinos" w:hAnsi="Tinos"/>
          <w:color w:val="000000"/>
          <w:szCs w:val="28"/>
        </w:rPr>
        <w:t>«</w:t>
      </w:r>
    </w:p>
    <w:tbl>
      <w:tblPr>
        <w:tblW w:w="5000" w:type="pct"/>
        <w:jc w:val="center"/>
        <w:tblInd w:w="0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6062"/>
        <w:gridCol w:w="3574"/>
      </w:tblGrid>
      <w:tr>
        <w:trPr>
          <w:trHeight w:val="281" w:hRule="atLeast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Порядковый номер пункта текстового раздела схемы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33</w:t>
            </w:r>
          </w:p>
        </w:tc>
      </w:tr>
      <w:tr>
        <w:trPr>
          <w:trHeight w:val="440" w:hRule="atLeast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Адресные ориентиры размещения нестационарного сезонного объекта торговли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подъем Редаковский, 10 (Редаковское кладбище)</w:t>
            </w:r>
          </w:p>
        </w:tc>
      </w:tr>
      <w:tr>
        <w:trPr>
          <w:trHeight w:val="281" w:hRule="atLeast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Площадь размещения нестационарного сезонного объекта торговли (кв. м)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301</w:t>
            </w:r>
          </w:p>
        </w:tc>
      </w:tr>
      <w:tr>
        <w:trPr>
          <w:trHeight w:val="281" w:hRule="atLeast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Площадь земельного участка, земель или части земельного участка, необходимая для размещения нестационарного торгового объекта (кв. м)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301</w:t>
            </w:r>
          </w:p>
        </w:tc>
      </w:tr>
      <w:tr>
        <w:trPr>
          <w:trHeight w:val="281" w:hRule="atLeast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Тип нестационарного сезонного объекта торговли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торговая палатка</w:t>
            </w:r>
          </w:p>
        </w:tc>
      </w:tr>
      <w:tr>
        <w:trPr>
          <w:trHeight w:val="281" w:hRule="atLeast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Специализация торговли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универсальная</w:t>
            </w:r>
          </w:p>
        </w:tc>
      </w:tr>
      <w:tr>
        <w:trPr>
          <w:trHeight w:val="281" w:hRule="atLeast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Период размещения нестационарного сезонного объекта торговли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апрель-октябрь</w:t>
            </w:r>
          </w:p>
        </w:tc>
      </w:tr>
      <w:tr>
        <w:trPr>
          <w:trHeight w:val="1160" w:hRule="atLeast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Информация об использовании нестационарного сезонного объекта торговли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ind w:firstLine="567"/>
        <w:jc w:val="both"/>
        <w:rPr>
          <w:rFonts w:ascii="Tinos" w:hAnsi="Tinos"/>
          <w:color w:val="000000"/>
          <w:szCs w:val="28"/>
        </w:rPr>
      </w:pPr>
      <w:r>
        <w:rPr>
          <w:rFonts w:ascii="Tinos" w:hAnsi="Tinos"/>
          <w:color w:val="000000"/>
          <w:szCs w:val="28"/>
        </w:rPr>
      </w:r>
    </w:p>
    <w:p>
      <w:pPr>
        <w:pStyle w:val="Normal"/>
        <w:spacing w:before="0" w:after="240"/>
        <w:jc w:val="both"/>
        <w:rPr>
          <w:color w:val="000000"/>
        </w:rPr>
      </w:pPr>
      <w:r>
        <w:rPr>
          <w:color w:val="000000"/>
        </w:rPr>
        <w:drawing>
          <wp:inline distT="0" distB="0" distL="0" distR="0">
            <wp:extent cx="5936615" cy="3147060"/>
            <wp:effectExtent l="0" t="0" r="0" b="0"/>
            <wp:docPr id="11" name="Рисунок 1 Копия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 Копия 6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14706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spacing w:before="240" w:after="240"/>
        <w:rPr>
          <w:color w:val="000000"/>
        </w:rPr>
      </w:pPr>
      <w:r>
        <w:rPr>
          <w:color w:val="000000"/>
        </w:rPr>
        <w:t>Масштаб 1:500</w:t>
      </w:r>
    </w:p>
    <w:tbl>
      <w:tblPr>
        <w:tblStyle w:val="afffff6"/>
        <w:tblW w:w="9747" w:type="dxa"/>
        <w:jc w:val="left"/>
        <w:tblInd w:w="108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2802"/>
        <w:gridCol w:w="6944"/>
      </w:tblGrid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Условные обозначения:</w: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0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104140</wp:posOffset>
                      </wp:positionV>
                      <wp:extent cx="1038225" cy="9525"/>
                      <wp:effectExtent l="1270" t="1270" r="635" b="635"/>
                      <wp:wrapNone/>
                      <wp:docPr id="12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38240" cy="9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stroked="t" o:allowincell="f" style="position:absolute;margin-left:17.6pt;margin-top:8.2pt;width:81.7pt;height:0.7pt;flip:y;mso-wrap-style:none;v-text-anchor:middle" type="_x0000_t32">
                      <v:fill o:detectmouseclick="t" on="false"/>
                      <v:stroke color="black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граница места размещения нестационарного торгового объекта;</w:t>
            </w:r>
          </w:p>
        </w:tc>
      </w:tr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9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214630</wp:posOffset>
                      </wp:positionV>
                      <wp:extent cx="1095375" cy="635"/>
                      <wp:effectExtent l="635" t="38735" r="0" b="38100"/>
                      <wp:wrapNone/>
                      <wp:docPr id="13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48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headEnd len="med" type="triangle" w="med"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stroked="t" o:allowincell="f" style="position:absolute;margin-left:17.6pt;margin-top:16.9pt;width:86.2pt;height:0pt;mso-wrap-style:none;v-text-anchor:middle" type="_x0000_t32">
                      <v:fill o:detectmouseclick="t" on="false"/>
                      <v:stroke color="black" startarrow="block" endarrow="block" startarrowwidth="medium" startarrowlength="medium" endarrowwidth="medium" endarrowlength="medium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расстояние до существующих элементов благоустройства, дорожных знаков, светофоров, объектов капитального строительства</w:t>
            </w:r>
          </w:p>
        </w:tc>
      </w:tr>
    </w:tbl>
    <w:p>
      <w:pPr>
        <w:pStyle w:val="Normal"/>
        <w:ind w:firstLine="709"/>
        <w:jc w:val="right"/>
        <w:rPr>
          <w:color w:val="000000"/>
        </w:rPr>
      </w:pPr>
      <w:r>
        <w:rPr>
          <w:rFonts w:cs="Times New Roman" w:ascii="Times New Roman" w:hAnsi="Times New Roman"/>
          <w:color w:val="000000"/>
        </w:rPr>
        <w:t>»;</w:t>
      </w:r>
    </w:p>
    <w:p>
      <w:pPr>
        <w:pStyle w:val="Normal"/>
        <w:spacing w:before="0" w:after="240"/>
        <w:ind w:firstLine="567"/>
        <w:jc w:val="both"/>
        <w:rPr>
          <w:color w:val="000000"/>
        </w:rPr>
      </w:pPr>
      <w:r>
        <w:rPr>
          <w:rFonts w:ascii="Tinos" w:hAnsi="Tinos"/>
          <w:color w:val="000000"/>
          <w:szCs w:val="28"/>
        </w:rPr>
        <w:t>2) дополнить подразделом 6 «Орджоникидзевский район» следующего содержания:</w:t>
      </w:r>
    </w:p>
    <w:p>
      <w:pPr>
        <w:pStyle w:val="Normal"/>
        <w:spacing w:before="240" w:after="240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«6. Орджоникидзевский район</w:t>
      </w:r>
    </w:p>
    <w:tbl>
      <w:tblPr>
        <w:tblW w:w="9781" w:type="dxa"/>
        <w:jc w:val="left"/>
        <w:tblInd w:w="79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5387"/>
        <w:gridCol w:w="4393"/>
      </w:tblGrid>
      <w:tr>
        <w:trPr>
          <w:trHeight w:val="281" w:hRule="atLeast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</w:rPr>
              <w:t>Порядковый номер пункта текстового раздела схемы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>1</w:t>
            </w:r>
          </w:p>
        </w:tc>
      </w:tr>
      <w:tr>
        <w:trPr>
          <w:trHeight w:val="440" w:hRule="atLeast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</w:rPr>
              <w:t>Адресные ориентиры размещения нестационарного сезонного объекта торговли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>улица Слесарная, 28</w:t>
            </w:r>
          </w:p>
        </w:tc>
      </w:tr>
      <w:tr>
        <w:trPr>
          <w:trHeight w:val="281" w:hRule="atLeast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</w:rPr>
              <w:t>Площадь размещения нестационарного сезонного объекта торговли (кв. м)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>10</w:t>
            </w:r>
          </w:p>
        </w:tc>
      </w:tr>
      <w:tr>
        <w:trPr>
          <w:trHeight w:val="281" w:hRule="atLeast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Площадь земельного участка, земель или части земельного участка, необходимая для размещения нестационарного торгового объекта (кв. м)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>10</w:t>
            </w:r>
          </w:p>
        </w:tc>
      </w:tr>
      <w:tr>
        <w:trPr>
          <w:trHeight w:val="281" w:hRule="atLeast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</w:rPr>
              <w:t>Тип нестационарного сезонного объекта торговли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>торговая палатка</w:t>
            </w:r>
          </w:p>
        </w:tc>
      </w:tr>
      <w:tr>
        <w:trPr>
          <w:trHeight w:val="281" w:hRule="atLeast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</w:rPr>
              <w:t>Специализация торговли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>универсальная</w:t>
            </w:r>
          </w:p>
        </w:tc>
      </w:tr>
      <w:tr>
        <w:trPr>
          <w:trHeight w:val="281" w:hRule="atLeast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</w:rPr>
              <w:t>Период размещения нестационарного сезонного объекта торговли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>апрель-октябрь</w:t>
            </w:r>
          </w:p>
        </w:tc>
      </w:tr>
      <w:tr>
        <w:trPr>
          <w:trHeight w:val="1156" w:hRule="atLeast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</w:rPr>
              <w:t>Информация об использовании нестационарного сезонного объекта торговли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Normal"/>
        <w:ind w:right="-1"/>
        <w:rPr>
          <w:color w:val="000000"/>
        </w:rPr>
      </w:pPr>
      <w:r>
        <w:rPr>
          <w:color w:val="000000"/>
        </w:rPr>
        <w:drawing>
          <wp:inline distT="0" distB="0" distL="0" distR="0">
            <wp:extent cx="5542280" cy="3217545"/>
            <wp:effectExtent l="0" t="0" r="0" b="0"/>
            <wp:docPr id="14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280" cy="321754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spacing w:before="240" w:after="240"/>
        <w:rPr>
          <w:color w:val="000000"/>
        </w:rPr>
      </w:pPr>
      <w:r>
        <w:rPr>
          <w:color w:val="000000"/>
        </w:rPr>
        <w:t>Масштаб 1:500</w:t>
      </w:r>
    </w:p>
    <w:tbl>
      <w:tblPr>
        <w:tblStyle w:val="afffff6"/>
        <w:tblW w:w="9747" w:type="dxa"/>
        <w:jc w:val="left"/>
        <w:tblInd w:w="108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2802"/>
        <w:gridCol w:w="6944"/>
      </w:tblGrid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Условные обозначения:</w: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2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104140</wp:posOffset>
                      </wp:positionV>
                      <wp:extent cx="1038225" cy="9525"/>
                      <wp:effectExtent l="1270" t="1270" r="635" b="635"/>
                      <wp:wrapNone/>
                      <wp:docPr id="15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38240" cy="9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stroked="t" o:allowincell="f" style="position:absolute;margin-left:17.6pt;margin-top:8.2pt;width:81.7pt;height:0.7pt;flip:y;mso-wrap-style:none;v-text-anchor:middle" type="_x0000_t32">
                      <v:fill o:detectmouseclick="t" on="false"/>
                      <v:stroke color="black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граница места размещения нестационарного торгового объекта;</w:t>
            </w:r>
          </w:p>
        </w:tc>
      </w:tr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1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214630</wp:posOffset>
                      </wp:positionV>
                      <wp:extent cx="1095375" cy="635"/>
                      <wp:effectExtent l="635" t="38735" r="0" b="38100"/>
                      <wp:wrapNone/>
                      <wp:docPr id="16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48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headEnd len="med" type="triangle" w="med"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stroked="t" o:allowincell="f" style="position:absolute;margin-left:17.6pt;margin-top:16.9pt;width:86.2pt;height:0pt;mso-wrap-style:none;v-text-anchor:middle" type="_x0000_t32">
                      <v:fill o:detectmouseclick="t" on="false"/>
                      <v:stroke color="black" startarrow="block" endarrow="block" startarrowwidth="medium" startarrowlength="medium" endarrowwidth="medium" endarrowlength="medium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расстояние до существующих элементов благоустройства, дорожных знаков, светофоров, объектов капитального строительства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Normal"/>
        <w:widowControl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  <w:r>
        <w:br w:type="page"/>
      </w:r>
    </w:p>
    <w:tbl>
      <w:tblPr>
        <w:tblStyle w:val="afffff6"/>
        <w:tblW w:w="9606" w:type="dxa"/>
        <w:jc w:val="left"/>
        <w:tblInd w:w="113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5636"/>
        <w:gridCol w:w="3969"/>
      </w:tblGrid>
      <w:tr>
        <w:trPr/>
        <w:tc>
          <w:tcPr>
            <w:tcW w:w="5636" w:type="dxa"/>
            <w:tcBorders/>
          </w:tcPr>
          <w:p>
            <w:pPr>
              <w:pStyle w:val="Normal"/>
              <w:pageBreakBefore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Порядковый номер пункта текстового раздела схемы</w:t>
            </w:r>
          </w:p>
        </w:tc>
        <w:tc>
          <w:tcPr>
            <w:tcW w:w="3969" w:type="dxa"/>
            <w:tcBorders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2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ind w:hanging="7" w:left="7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Адресные ориентиры размещения нестационарного сезонного объекта торговли</w:t>
            </w:r>
          </w:p>
        </w:tc>
        <w:tc>
          <w:tcPr>
            <w:tcW w:w="3969" w:type="dxa"/>
            <w:tcBorders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улица Слесарная, 28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Площадь размещения нестационарного сезонного объекта торговли (кв. м)</w:t>
            </w:r>
          </w:p>
        </w:tc>
        <w:tc>
          <w:tcPr>
            <w:tcW w:w="3969" w:type="dxa"/>
            <w:tcBorders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10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Площадь земельного участка, земель или части земельного участка, необходимая для размещения нестационарного торгового объекта (кв. м)</w:t>
            </w:r>
          </w:p>
        </w:tc>
        <w:tc>
          <w:tcPr>
            <w:tcW w:w="3969" w:type="dxa"/>
            <w:tcBorders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10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Тип нестационарного сезонного объекта торговли</w:t>
            </w:r>
          </w:p>
        </w:tc>
        <w:tc>
          <w:tcPr>
            <w:tcW w:w="3969" w:type="dxa"/>
            <w:tcBorders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торговая палатка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Специализация торговли</w:t>
            </w:r>
          </w:p>
        </w:tc>
        <w:tc>
          <w:tcPr>
            <w:tcW w:w="3969" w:type="dxa"/>
            <w:tcBorders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универсальная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Период размещения нестационарного сезонного объекта торговли</w:t>
            </w:r>
          </w:p>
        </w:tc>
        <w:tc>
          <w:tcPr>
            <w:tcW w:w="3969" w:type="dxa"/>
            <w:tcBorders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апрель-октябрь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Информация об использовании нестационарного сезонного объекта торговли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3969" w:type="dxa"/>
            <w:tcBorders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drawing>
          <wp:inline distT="0" distB="0" distL="0" distR="0">
            <wp:extent cx="5814060" cy="3549650"/>
            <wp:effectExtent l="0" t="0" r="0" b="0"/>
            <wp:docPr id="17" name="Рисунок 1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35496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spacing w:before="240" w:after="240"/>
        <w:rPr>
          <w:color w:val="000000"/>
        </w:rPr>
      </w:pPr>
      <w:r>
        <w:rPr>
          <w:color w:val="000000"/>
        </w:rPr>
        <w:t>Масштаб 1:500</w:t>
      </w:r>
    </w:p>
    <w:tbl>
      <w:tblPr>
        <w:tblStyle w:val="afffff6"/>
        <w:tblW w:w="9747" w:type="dxa"/>
        <w:jc w:val="left"/>
        <w:tblInd w:w="108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2802"/>
        <w:gridCol w:w="6944"/>
      </w:tblGrid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Условные обозначения:</w: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4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104140</wp:posOffset>
                      </wp:positionV>
                      <wp:extent cx="1038225" cy="9525"/>
                      <wp:effectExtent l="1270" t="1270" r="635" b="635"/>
                      <wp:wrapNone/>
                      <wp:docPr id="18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38240" cy="9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stroked="t" o:allowincell="f" style="position:absolute;margin-left:17.6pt;margin-top:8.2pt;width:81.7pt;height:0.7pt;flip:y;mso-wrap-style:none;v-text-anchor:middle" type="_x0000_t32">
                      <v:fill o:detectmouseclick="t" on="false"/>
                      <v:stroke color="black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граница места размещения нестационарного торгового объекта;</w:t>
            </w:r>
          </w:p>
        </w:tc>
      </w:tr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3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214630</wp:posOffset>
                      </wp:positionV>
                      <wp:extent cx="1095375" cy="635"/>
                      <wp:effectExtent l="635" t="38735" r="0" b="38100"/>
                      <wp:wrapNone/>
                      <wp:docPr id="19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48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headEnd len="med" type="triangle" w="med"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stroked="t" o:allowincell="f" style="position:absolute;margin-left:17.6pt;margin-top:16.9pt;width:86.2pt;height:0pt;mso-wrap-style:none;v-text-anchor:middle" type="_x0000_t32">
                      <v:fill o:detectmouseclick="t" on="false"/>
                      <v:stroke color="black" startarrow="block" endarrow="block" startarrowwidth="medium" startarrowlength="medium" endarrowwidth="medium" endarrowlength="medium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расстояние до существующих элементов благоустройства, дорожных знаков, светофоров, объектов капитального строительства</w:t>
            </w:r>
          </w:p>
        </w:tc>
      </w:tr>
    </w:tbl>
    <w:p>
      <w:pPr>
        <w:pStyle w:val="Normal"/>
        <w:widowControl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  <w:r>
        <w:br w:type="page"/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tbl>
      <w:tblPr>
        <w:tblStyle w:val="afffff6"/>
        <w:tblW w:w="9606" w:type="dxa"/>
        <w:jc w:val="left"/>
        <w:tblInd w:w="113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5636"/>
        <w:gridCol w:w="3969"/>
      </w:tblGrid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Порядковый номер пункта текстового раздела схемы</w:t>
            </w:r>
          </w:p>
        </w:tc>
        <w:tc>
          <w:tcPr>
            <w:tcW w:w="3969" w:type="dxa"/>
            <w:tcBorders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3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ind w:hanging="7" w:left="7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Адресные ориентиры размещения нестационарного сезонного объекта торговли</w:t>
            </w:r>
          </w:p>
        </w:tc>
        <w:tc>
          <w:tcPr>
            <w:tcW w:w="3969" w:type="dxa"/>
            <w:tcBorders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улица Слесарная, 28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Площадь размещения нестационарного сезонного объекта торговли (кв. м)</w:t>
            </w:r>
          </w:p>
        </w:tc>
        <w:tc>
          <w:tcPr>
            <w:tcW w:w="3969" w:type="dxa"/>
            <w:tcBorders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10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Площадь земельного участка, земель или части земельного участка, необходимая для размещения нестационарного торгового объекта (кв. м)</w:t>
            </w:r>
          </w:p>
        </w:tc>
        <w:tc>
          <w:tcPr>
            <w:tcW w:w="3969" w:type="dxa"/>
            <w:tcBorders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10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Тип нестационарного сезонного объекта торговли</w:t>
            </w:r>
          </w:p>
        </w:tc>
        <w:tc>
          <w:tcPr>
            <w:tcW w:w="3969" w:type="dxa"/>
            <w:tcBorders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торговая палатка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Специализация торговли</w:t>
            </w:r>
          </w:p>
        </w:tc>
        <w:tc>
          <w:tcPr>
            <w:tcW w:w="3969" w:type="dxa"/>
            <w:tcBorders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универсальная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Период размещения нестационарного сезонного объекта торговли</w:t>
            </w:r>
          </w:p>
        </w:tc>
        <w:tc>
          <w:tcPr>
            <w:tcW w:w="3969" w:type="dxa"/>
            <w:tcBorders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апрель-октябрь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Информация об использовании нестационарного сезонного объекта торговли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3969" w:type="dxa"/>
            <w:tcBorders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drawing>
          <wp:inline distT="0" distB="0" distL="0" distR="0">
            <wp:extent cx="5932805" cy="3201670"/>
            <wp:effectExtent l="0" t="0" r="0" b="0"/>
            <wp:docPr id="20" name="Рисунок 1 Копия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 Копия 2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20167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spacing w:before="240" w:after="240"/>
        <w:rPr>
          <w:color w:val="000000"/>
        </w:rPr>
      </w:pPr>
      <w:r>
        <w:rPr>
          <w:color w:val="000000"/>
        </w:rPr>
        <w:t>Масштаб 1:500</w:t>
      </w:r>
    </w:p>
    <w:tbl>
      <w:tblPr>
        <w:tblStyle w:val="afffff6"/>
        <w:tblW w:w="9747" w:type="dxa"/>
        <w:jc w:val="left"/>
        <w:tblInd w:w="108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2802"/>
        <w:gridCol w:w="6944"/>
      </w:tblGrid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Условные обозначения:</w: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6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104140</wp:posOffset>
                      </wp:positionV>
                      <wp:extent cx="1038225" cy="9525"/>
                      <wp:effectExtent l="1270" t="1270" r="635" b="635"/>
                      <wp:wrapNone/>
                      <wp:docPr id="21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38240" cy="9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stroked="t" o:allowincell="f" style="position:absolute;margin-left:17.6pt;margin-top:8.2pt;width:81.7pt;height:0.7pt;flip:y;mso-wrap-style:none;v-text-anchor:middle" type="_x0000_t32">
                      <v:fill o:detectmouseclick="t" on="false"/>
                      <v:stroke color="black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граница места размещения нестационарного торгового объекта;</w:t>
            </w:r>
          </w:p>
        </w:tc>
      </w:tr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5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214630</wp:posOffset>
                      </wp:positionV>
                      <wp:extent cx="1095375" cy="635"/>
                      <wp:effectExtent l="635" t="38735" r="0" b="38100"/>
                      <wp:wrapNone/>
                      <wp:docPr id="22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48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headEnd len="med" type="triangle" w="med"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stroked="t" o:allowincell="f" style="position:absolute;margin-left:17.6pt;margin-top:16.9pt;width:86.2pt;height:0pt;mso-wrap-style:none;v-text-anchor:middle" type="_x0000_t32">
                      <v:fill o:detectmouseclick="t" on="false"/>
                      <v:stroke color="black" startarrow="block" endarrow="block" startarrowwidth="medium" startarrowlength="medium" endarrowwidth="medium" endarrowlength="medium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расстояние до существующих элементов благоустройства, дорожных знаков, светофоров, объектов капитального строительства</w:t>
            </w:r>
          </w:p>
        </w:tc>
      </w:tr>
    </w:tbl>
    <w:p>
      <w:pPr>
        <w:pStyle w:val="Normal"/>
        <w:widowControl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  <w:r>
        <w:br w:type="page"/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tbl>
      <w:tblPr>
        <w:tblStyle w:val="afffff6"/>
        <w:tblW w:w="9606" w:type="dxa"/>
        <w:jc w:val="left"/>
        <w:tblInd w:w="113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5636"/>
        <w:gridCol w:w="3969"/>
      </w:tblGrid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Порядковый номер пункта текстового раздела схемы</w:t>
            </w:r>
          </w:p>
        </w:tc>
        <w:tc>
          <w:tcPr>
            <w:tcW w:w="3969" w:type="dxa"/>
            <w:tcBorders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4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ind w:hanging="7" w:left="7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Адресные ориентиры размещения нестационарного сезонного объекта торговли</w:t>
            </w:r>
          </w:p>
        </w:tc>
        <w:tc>
          <w:tcPr>
            <w:tcW w:w="3969" w:type="dxa"/>
            <w:tcBorders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улица Слесарная, 28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Площадь размещения нестационарного сезонного объекта торговли (кв. м)</w:t>
            </w:r>
          </w:p>
        </w:tc>
        <w:tc>
          <w:tcPr>
            <w:tcW w:w="3969" w:type="dxa"/>
            <w:tcBorders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10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Площадь земельного участка, земель или части земельного участка, необходимая для размещения нестационарного торгового объекта (кв. м)</w:t>
            </w:r>
          </w:p>
        </w:tc>
        <w:tc>
          <w:tcPr>
            <w:tcW w:w="3969" w:type="dxa"/>
            <w:tcBorders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10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Тип нестационарного сезонного объекта торговли</w:t>
            </w:r>
          </w:p>
        </w:tc>
        <w:tc>
          <w:tcPr>
            <w:tcW w:w="3969" w:type="dxa"/>
            <w:tcBorders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торговая палатка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Специализация торговли</w:t>
            </w:r>
          </w:p>
        </w:tc>
        <w:tc>
          <w:tcPr>
            <w:tcW w:w="3969" w:type="dxa"/>
            <w:tcBorders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универсальная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Период размещения нестационарного сезонного объекта торговли</w:t>
            </w:r>
          </w:p>
        </w:tc>
        <w:tc>
          <w:tcPr>
            <w:tcW w:w="3969" w:type="dxa"/>
            <w:tcBorders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апрель-октябрь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Информация об использовании нестационарного сезонного объекта торговли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3969" w:type="dxa"/>
            <w:tcBorders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drawing>
          <wp:inline distT="0" distB="0" distL="0" distR="0">
            <wp:extent cx="5881370" cy="3249930"/>
            <wp:effectExtent l="0" t="0" r="0" b="0"/>
            <wp:docPr id="23" name="Рисунок 1 Копия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1 Копия 3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370" cy="324993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spacing w:before="240" w:after="240"/>
        <w:rPr>
          <w:color w:val="000000"/>
        </w:rPr>
      </w:pPr>
      <w:r>
        <w:rPr>
          <w:color w:val="000000"/>
        </w:rPr>
        <w:t>Масштаб 1:500</w:t>
      </w:r>
    </w:p>
    <w:tbl>
      <w:tblPr>
        <w:tblStyle w:val="afffff6"/>
        <w:tblW w:w="9747" w:type="dxa"/>
        <w:jc w:val="left"/>
        <w:tblInd w:w="108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2802"/>
        <w:gridCol w:w="6944"/>
      </w:tblGrid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Условные обозначения:</w: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8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104140</wp:posOffset>
                      </wp:positionV>
                      <wp:extent cx="1038225" cy="9525"/>
                      <wp:effectExtent l="1270" t="1270" r="635" b="635"/>
                      <wp:wrapNone/>
                      <wp:docPr id="24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38240" cy="9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stroked="t" o:allowincell="f" style="position:absolute;margin-left:17.6pt;margin-top:8.2pt;width:81.7pt;height:0.7pt;flip:y;mso-wrap-style:none;v-text-anchor:middle" type="_x0000_t32">
                      <v:fill o:detectmouseclick="t" on="false"/>
                      <v:stroke color="black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граница места размещения нестационарного торгового объекта;</w:t>
            </w:r>
          </w:p>
        </w:tc>
      </w:tr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7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214630</wp:posOffset>
                      </wp:positionV>
                      <wp:extent cx="1095375" cy="635"/>
                      <wp:effectExtent l="635" t="38735" r="0" b="38100"/>
                      <wp:wrapNone/>
                      <wp:docPr id="25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48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headEnd len="med" type="triangle" w="med"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stroked="t" o:allowincell="f" style="position:absolute;margin-left:17.6pt;margin-top:16.9pt;width:86.2pt;height:0pt;mso-wrap-style:none;v-text-anchor:middle" type="_x0000_t32">
                      <v:fill o:detectmouseclick="t" on="false"/>
                      <v:stroke color="black" startarrow="block" endarrow="block" startarrowwidth="medium" startarrowlength="medium" endarrowwidth="medium" endarrowlength="medium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расстояние до существующих элементов благоустройства, дорожных знаков, светофоров, объектов капитального строительства</w:t>
            </w:r>
          </w:p>
        </w:tc>
      </w:tr>
    </w:tbl>
    <w:p>
      <w:pPr>
        <w:pStyle w:val="Normal"/>
        <w:widowControl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  <w:r>
        <w:br w:type="page"/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tbl>
      <w:tblPr>
        <w:tblStyle w:val="afffff6"/>
        <w:tblW w:w="9606" w:type="dxa"/>
        <w:jc w:val="left"/>
        <w:tblInd w:w="113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5636"/>
        <w:gridCol w:w="3969"/>
      </w:tblGrid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Порядковый номер пункта текстового раздела схемы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5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ind w:hanging="7" w:left="7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Адресные ориентиры размещения нестационарного сезонного объекта торговли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улица Слесарная, 28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Площадь размещения нестационарного сезонного объекта торговли (кв. м)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10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Площадь земельного участка, земель или части земельного участка, необходимая для размещения нестационарного торгового объекта (кв. м)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10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Тип нестационарного сезонного объекта торговли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торговая палатка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Специализация торговли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универсальная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Период размещения нестационарного сезонного объекта торговли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апрель-октябрь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Информация об использовании нестационарного сезонного объекта торговли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drawing>
          <wp:inline distT="0" distB="0" distL="0" distR="0">
            <wp:extent cx="5815965" cy="3413760"/>
            <wp:effectExtent l="0" t="0" r="0" b="0"/>
            <wp:docPr id="26" name="Рисунок 1 Копия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 Копия 4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341376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spacing w:before="240" w:after="240"/>
        <w:rPr>
          <w:color w:val="000000"/>
        </w:rPr>
      </w:pPr>
      <w:r>
        <w:rPr>
          <w:color w:val="000000"/>
        </w:rPr>
        <w:t>Масштаб 1:500</w:t>
      </w:r>
    </w:p>
    <w:tbl>
      <w:tblPr>
        <w:tblStyle w:val="afffff6"/>
        <w:tblW w:w="9747" w:type="dxa"/>
        <w:jc w:val="left"/>
        <w:tblInd w:w="108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2802"/>
        <w:gridCol w:w="6944"/>
      </w:tblGrid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Условные обозначения:</w: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0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104140</wp:posOffset>
                      </wp:positionV>
                      <wp:extent cx="1038225" cy="9525"/>
                      <wp:effectExtent l="1270" t="1270" r="635" b="635"/>
                      <wp:wrapNone/>
                      <wp:docPr id="27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38240" cy="9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stroked="t" o:allowincell="f" style="position:absolute;margin-left:17.6pt;margin-top:8.2pt;width:81.7pt;height:0.7pt;flip:y;mso-wrap-style:none;v-text-anchor:middle" type="_x0000_t32">
                      <v:fill o:detectmouseclick="t" on="false"/>
                      <v:stroke color="black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граница места размещения нестационарного торгового объекта;</w:t>
            </w:r>
          </w:p>
        </w:tc>
      </w:tr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9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214630</wp:posOffset>
                      </wp:positionV>
                      <wp:extent cx="1095375" cy="635"/>
                      <wp:effectExtent l="635" t="38735" r="0" b="38100"/>
                      <wp:wrapNone/>
                      <wp:docPr id="28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48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headEnd len="med" type="triangle" w="med"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stroked="t" o:allowincell="f" style="position:absolute;margin-left:17.6pt;margin-top:16.9pt;width:86.2pt;height:0pt;mso-wrap-style:none;v-text-anchor:middle" type="_x0000_t32">
                      <v:fill o:detectmouseclick="t" on="false"/>
                      <v:stroke color="black" startarrow="block" endarrow="block" startarrowwidth="medium" startarrowlength="medium" endarrowwidth="medium" endarrowlength="medium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расстояние до существующих элементов благоустройства, дорожных знаков, светофоров, объектов капитального строительства</w:t>
            </w:r>
          </w:p>
        </w:tc>
      </w:tr>
    </w:tbl>
    <w:p>
      <w:pPr>
        <w:pStyle w:val="Normal"/>
        <w:widowControl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  <w:r>
        <w:br w:type="page"/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tbl>
      <w:tblPr>
        <w:tblStyle w:val="afffff6"/>
        <w:tblW w:w="9606" w:type="dxa"/>
        <w:jc w:val="left"/>
        <w:tblInd w:w="113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5636"/>
        <w:gridCol w:w="3969"/>
      </w:tblGrid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Порядковый номер пункта текстового раздела схемы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6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ind w:hanging="7" w:left="7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Адресные ориентиры размещения нестационарного сезонного объекта торговли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улица Слесарная, 28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Площадь размещения нестационарного сезонного объекта торговли (кв. м)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10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Площадь земельного участка, земель или части земельного участка, необходимая для размещения нестационарного торгового объекта (кв. м)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10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Тип нестационарного сезонного объекта торговли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торговая палатка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Специализация торговли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универсальная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Период размещения нестационарного сезонного объекта торговли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апрель-октябрь</w:t>
            </w:r>
          </w:p>
        </w:tc>
      </w:tr>
      <w:tr>
        <w:trPr/>
        <w:tc>
          <w:tcPr>
            <w:tcW w:w="563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Информация об использовании нестационарного сезонного объекта торговли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Lohit Devanagari"/>
                <w:color w:val="000000"/>
                <w:kern w:val="2"/>
                <w:sz w:val="24"/>
                <w:szCs w:val="24"/>
                <w:lang w:val="ru-RU" w:eastAsia="ru-RU" w:bidi="ru-RU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drawing>
          <wp:inline distT="0" distB="0" distL="0" distR="0">
            <wp:extent cx="6000750" cy="2635250"/>
            <wp:effectExtent l="0" t="0" r="0" b="0"/>
            <wp:docPr id="29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6352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spacing w:before="240" w:after="240"/>
        <w:rPr>
          <w:color w:val="000000"/>
        </w:rPr>
      </w:pPr>
      <w:r>
        <w:rPr>
          <w:color w:val="000000"/>
        </w:rPr>
        <w:t>Масштаб 1:500</w:t>
      </w:r>
    </w:p>
    <w:tbl>
      <w:tblPr>
        <w:tblStyle w:val="afffff6"/>
        <w:tblW w:w="9747" w:type="dxa"/>
        <w:jc w:val="left"/>
        <w:tblInd w:w="108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2802"/>
        <w:gridCol w:w="6944"/>
      </w:tblGrid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Условные обозначения:</w: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2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104140</wp:posOffset>
                      </wp:positionV>
                      <wp:extent cx="1038225" cy="9525"/>
                      <wp:effectExtent l="1270" t="1270" r="635" b="635"/>
                      <wp:wrapNone/>
                      <wp:docPr id="30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38240" cy="9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stroked="t" o:allowincell="f" style="position:absolute;margin-left:17.6pt;margin-top:8.2pt;width:81.7pt;height:0.7pt;flip:y;mso-wrap-style:none;v-text-anchor:middle" type="_x0000_t32">
                      <v:fill o:detectmouseclick="t" on="false"/>
                      <v:stroke color="black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граница места размещения нестационарного торгового объекта;</w:t>
            </w:r>
          </w:p>
        </w:tc>
      </w:tr>
      <w:tr>
        <w:trPr/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 w:eastAsia="Source Han Sans CN Regular" w:cs="Lohit Devanagari"/>
                <w:color w:val="000000"/>
                <w:kern w:val="2"/>
                <w:szCs w:val="28"/>
                <w:lang w:val="ru-RU" w:eastAsia="ru-RU" w:bidi="ru-RU"/>
              </w:rPr>
            </w:pPr>
            <w:r>
              <w:rPr>
                <w:rFonts w:eastAsia="Source Han Sans CN Regular" w:cs="Lohit Devanagari" w:ascii="Times New Roman" w:hAnsi="Times New Roman"/>
                <w:color w:val="000000"/>
                <w:kern w:val="2"/>
                <w:szCs w:val="28"/>
                <w:lang w:val="ru-RU" w:eastAsia="ru-RU" w:bidi="ru-RU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1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214630</wp:posOffset>
                      </wp:positionV>
                      <wp:extent cx="1095375" cy="635"/>
                      <wp:effectExtent l="635" t="38735" r="0" b="38100"/>
                      <wp:wrapNone/>
                      <wp:docPr id="31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48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headEnd len="med" type="triangle" w="med"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stroked="t" o:allowincell="f" style="position:absolute;margin-left:17.6pt;margin-top:16.9pt;width:86.2pt;height:0pt;mso-wrap-style:none;v-text-anchor:middle" type="_x0000_t32">
                      <v:fill o:detectmouseclick="t" on="false"/>
                      <v:stroke color="black" startarrow="block" endarrow="block" startarrowwidth="medium" startarrowlength="medium" endarrowwidth="medium" endarrowlength="medium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расстояние до существующих элементов благоустройства, дорожных знаков, светофоров, объектов капитального строительства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tbl>
      <w:tblPr>
        <w:tblW w:w="9639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536"/>
        <w:gridCol w:w="5102"/>
      </w:tblGrid>
      <w:tr>
        <w:trPr/>
        <w:tc>
          <w:tcPr>
            <w:tcW w:w="4536" w:type="dxa"/>
            <w:tcBorders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8"/>
              </w:rPr>
              <w:t>Заместитель Главы города</w:t>
            </w:r>
          </w:p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8"/>
              </w:rPr>
              <w:t>по экономическим вопросам</w:t>
            </w:r>
          </w:p>
        </w:tc>
        <w:tc>
          <w:tcPr>
            <w:tcW w:w="5102" w:type="dxa"/>
            <w:tcBorders/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Cs w:val="28"/>
              </w:rPr>
            </w:r>
          </w:p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8"/>
              </w:rPr>
              <w:t>И.С. Прошунина</w:t>
            </w:r>
          </w:p>
        </w:tc>
      </w:tr>
    </w:tbl>
    <w:p>
      <w:pPr>
        <w:sectPr>
          <w:headerReference w:type="even" r:id="rId13"/>
          <w:headerReference w:type="default" r:id="rId14"/>
          <w:headerReference w:type="first" r:id="rId15"/>
          <w:footerReference w:type="even" r:id="rId16"/>
          <w:footerReference w:type="default" r:id="rId17"/>
          <w:footerReference w:type="first" r:id="rId18"/>
          <w:type w:val="nextPage"/>
          <w:pgSz w:w="11906" w:h="16838"/>
          <w:pgMar w:left="1418" w:right="851" w:gutter="0" w:header="709" w:top="1134" w:footer="709" w:bottom="1134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Normal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</w:rPr>
        <w:t>Лист согласования</w:t>
      </w:r>
    </w:p>
    <w:p>
      <w:pPr>
        <w:pStyle w:val="Normal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</w:rPr>
        <w:t>проекта правового акта администрации города Новокузнецка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tbl>
      <w:tblPr>
        <w:tblStyle w:val="afffff6"/>
        <w:tblW w:w="985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518"/>
        <w:gridCol w:w="424"/>
        <w:gridCol w:w="2149"/>
        <w:gridCol w:w="1538"/>
        <w:gridCol w:w="425"/>
        <w:gridCol w:w="2798"/>
      </w:tblGrid>
      <w:tr>
        <w:trPr/>
        <w:tc>
          <w:tcPr>
            <w:tcW w:w="50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 xml:space="preserve">Вид правового акта: постановление </w:t>
            </w:r>
          </w:p>
        </w:tc>
        <w:tc>
          <w:tcPr>
            <w:tcW w:w="4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от ______________ № __________</w:t>
            </w:r>
          </w:p>
        </w:tc>
      </w:tr>
      <w:tr>
        <w:trPr>
          <w:trHeight w:val="170" w:hRule="exact"/>
        </w:trPr>
        <w:tc>
          <w:tcPr>
            <w:tcW w:w="50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ё</w:t>
            </w:r>
          </w:p>
        </w:tc>
        <w:tc>
          <w:tcPr>
            <w:tcW w:w="4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Наименование (заголовок) правового акта: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DejaVu Sans" w:cs="Times New Roman" w:ascii="Times New Roman" w:hAnsi="Times New Roman" w:eastAsiaTheme="minorEastAsia"/>
                <w:color w:val="000000"/>
                <w:kern w:val="2"/>
                <w:sz w:val="24"/>
                <w:szCs w:val="24"/>
                <w:lang w:val="ru-RU" w:eastAsia="ru-RU" w:bidi="ru-RU"/>
              </w:rPr>
              <w:t>«О внесении изменений в постановление администрации города Новокузнецка  от 18.04.2014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DejaVu Sans" w:cs="Times New Roman" w:ascii="Times New Roman" w:hAnsi="Times New Roman" w:eastAsiaTheme="minorEastAsia"/>
                <w:color w:val="000000"/>
                <w:kern w:val="2"/>
                <w:sz w:val="24"/>
                <w:szCs w:val="24"/>
                <w:lang w:val="ru-RU" w:eastAsia="ru-RU" w:bidi="ru-RU"/>
              </w:rPr>
              <w:t>№</w:t>
            </w:r>
            <w:r>
              <w:rPr>
                <w:rFonts w:eastAsia="DejaVu Sans" w:cs="Times New Roman" w:ascii="Times New Roman" w:hAnsi="Times New Roman" w:eastAsiaTheme="minorEastAsia"/>
                <w:color w:val="000000"/>
                <w:kern w:val="2"/>
                <w:sz w:val="24"/>
                <w:szCs w:val="24"/>
                <w:lang w:val="ru-RU" w:eastAsia="ru-RU" w:bidi="ru-RU"/>
              </w:rPr>
              <w:t>61 «</w:t>
            </w:r>
            <w:r>
              <w:rPr>
                <w:rFonts w:eastAsia="Calibri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Об утверждении схем размещения нестационарных торговых объектов на территории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Calibri" w:cs="Lohit Devanaga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Новокузнецкого городского округа»</w:t>
            </w:r>
          </w:p>
        </w:tc>
      </w:tr>
      <w:tr>
        <w:trPr>
          <w:trHeight w:val="170" w:hRule="exact"/>
        </w:trPr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Проект правового акта внесен: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 xml:space="preserve">Начальник 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управления потребительского рынка и развития предпринимательства</w:t>
            </w:r>
          </w:p>
        </w:tc>
      </w:tr>
      <w:tr>
        <w:trPr/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должность лица, внесшего правовой акт (разработчик)</w:t>
            </w:r>
          </w:p>
        </w:tc>
      </w:tr>
      <w:tr>
        <w:trPr>
          <w:trHeight w:val="284" w:hRule="exact"/>
        </w:trPr>
        <w:tc>
          <w:tcPr>
            <w:tcW w:w="2518" w:type="dxa"/>
            <w:tcBorders>
              <w:top w:val="nil"/>
              <w:left w:val="nil"/>
              <w:right w:val="nil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Шиллер Я.В.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</w:tr>
      <w:tr>
        <w:trPr/>
        <w:tc>
          <w:tcPr>
            <w:tcW w:w="25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подпись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7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расшифровка подписи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дата согласования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Проект правового акта согласован: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Первый заместитель Главы города</w:t>
            </w:r>
          </w:p>
        </w:tc>
      </w:tr>
      <w:tr>
        <w:trPr/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должность лица, согласующего проект правового акта</w:t>
            </w:r>
          </w:p>
        </w:tc>
      </w:tr>
      <w:tr>
        <w:trPr>
          <w:trHeight w:val="284" w:hRule="atLeast"/>
        </w:trPr>
        <w:tc>
          <w:tcPr>
            <w:tcW w:w="2518" w:type="dxa"/>
            <w:tcBorders>
              <w:top w:val="nil"/>
              <w:left w:val="nil"/>
              <w:right w:val="nil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Бедарев Е.А.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</w:tr>
      <w:tr>
        <w:trPr/>
        <w:tc>
          <w:tcPr>
            <w:tcW w:w="25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подпись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7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расшифровка подписи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дата согласования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Заместитель Главы города по экономическим вопросам</w:t>
            </w:r>
          </w:p>
        </w:tc>
      </w:tr>
      <w:tr>
        <w:trPr/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должность лица, согласующего проект правового акта</w:t>
            </w:r>
          </w:p>
        </w:tc>
      </w:tr>
      <w:tr>
        <w:trPr>
          <w:trHeight w:val="284" w:hRule="atLeast"/>
        </w:trPr>
        <w:tc>
          <w:tcPr>
            <w:tcW w:w="2518" w:type="dxa"/>
            <w:tcBorders>
              <w:top w:val="nil"/>
              <w:left w:val="nil"/>
              <w:right w:val="nil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Прошунина И.С.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</w:tr>
      <w:tr>
        <w:trPr/>
        <w:tc>
          <w:tcPr>
            <w:tcW w:w="25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подпись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7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расшифровка подписи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дата согласования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Заместитель Главы города – руководителю администрации Куйбышевского района</w:t>
            </w:r>
          </w:p>
        </w:tc>
      </w:tr>
      <w:tr>
        <w:trPr/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должность лица, согласующего проект правового акта</w:t>
            </w:r>
          </w:p>
        </w:tc>
      </w:tr>
      <w:tr>
        <w:trPr>
          <w:trHeight w:val="284" w:hRule="atLeast"/>
        </w:trPr>
        <w:tc>
          <w:tcPr>
            <w:tcW w:w="2518" w:type="dxa"/>
            <w:tcBorders>
              <w:top w:val="nil"/>
              <w:left w:val="nil"/>
              <w:right w:val="nil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Маисеев С.Н.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</w:tr>
      <w:tr>
        <w:trPr/>
        <w:tc>
          <w:tcPr>
            <w:tcW w:w="25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подпись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7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расшифровка подписи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дата согласования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Заместитель Главы города – руководителю администрации Заводского района</w:t>
            </w:r>
          </w:p>
        </w:tc>
      </w:tr>
      <w:tr>
        <w:trPr/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должность лица, согласующего проект правового акта</w:t>
            </w:r>
          </w:p>
        </w:tc>
      </w:tr>
      <w:tr>
        <w:trPr/>
        <w:tc>
          <w:tcPr>
            <w:tcW w:w="25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Ермолаев А.А.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</w:tr>
      <w:tr>
        <w:trPr/>
        <w:tc>
          <w:tcPr>
            <w:tcW w:w="25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подпись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расшифровка подписи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дата согласования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Заместитель Главы города – руководителю администрации Новоильинского района</w:t>
            </w:r>
          </w:p>
        </w:tc>
      </w:tr>
      <w:tr>
        <w:trPr/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должность лица, согласующего проект правового акта</w:t>
            </w:r>
          </w:p>
        </w:tc>
      </w:tr>
      <w:tr>
        <w:trPr/>
        <w:tc>
          <w:tcPr>
            <w:tcW w:w="25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Токарев А.В.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</w:tr>
      <w:tr>
        <w:trPr/>
        <w:tc>
          <w:tcPr>
            <w:tcW w:w="25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подпись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расшифровка подписи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дата согласования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Заместитель Главы города – руководителю администрации Орджоникидзевского района</w:t>
            </w:r>
          </w:p>
        </w:tc>
      </w:tr>
      <w:tr>
        <w:trPr/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должность лица, согласующего проект правового акта</w:t>
            </w:r>
          </w:p>
        </w:tc>
      </w:tr>
      <w:tr>
        <w:trPr/>
        <w:tc>
          <w:tcPr>
            <w:tcW w:w="25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Полев С.Н.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</w:tr>
      <w:tr>
        <w:trPr/>
        <w:tc>
          <w:tcPr>
            <w:tcW w:w="25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подпись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расшифровка подписи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дата согласования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Председатель Комитета градостроительства и архитектуры</w:t>
            </w:r>
          </w:p>
        </w:tc>
      </w:tr>
      <w:tr>
        <w:trPr/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должность лица, согласующего проект правового акта</w:t>
            </w:r>
          </w:p>
        </w:tc>
      </w:tr>
      <w:tr>
        <w:trPr/>
        <w:tc>
          <w:tcPr>
            <w:tcW w:w="25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Левченко В.С.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</w:tr>
      <w:tr>
        <w:trPr/>
        <w:tc>
          <w:tcPr>
            <w:tcW w:w="25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подпись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расшифровка подписи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дата согласования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Председатель Комитета по управлению муниципальным имуществом</w:t>
            </w:r>
          </w:p>
        </w:tc>
      </w:tr>
      <w:tr>
        <w:trPr/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должность лица, согласующего проект правового акта</w:t>
            </w:r>
          </w:p>
        </w:tc>
      </w:tr>
      <w:tr>
        <w:trPr/>
        <w:tc>
          <w:tcPr>
            <w:tcW w:w="25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Сафонова Н.В.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</w:tr>
      <w:tr>
        <w:trPr/>
        <w:tc>
          <w:tcPr>
            <w:tcW w:w="25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подпись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расшифровка подписи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дата согласования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Начальник правового управления</w:t>
            </w:r>
          </w:p>
        </w:tc>
      </w:tr>
      <w:tr>
        <w:trPr/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должность лица, согласующего проект правового акта</w:t>
            </w:r>
          </w:p>
        </w:tc>
      </w:tr>
      <w:tr>
        <w:trPr/>
        <w:tc>
          <w:tcPr>
            <w:tcW w:w="25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Баскакова И.Ю.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</w:tr>
      <w:tr>
        <w:trPr/>
        <w:tc>
          <w:tcPr>
            <w:tcW w:w="25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подпись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расшифровка подписи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дата согласования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Заместитель Главы города – руководитель аппарата</w:t>
            </w:r>
          </w:p>
        </w:tc>
      </w:tr>
      <w:tr>
        <w:trPr/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должность лица, согласующего проект правового акта</w:t>
            </w:r>
          </w:p>
        </w:tc>
      </w:tr>
      <w:tr>
        <w:trPr/>
        <w:tc>
          <w:tcPr>
            <w:tcW w:w="25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Бисенова Е.С.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</w:tr>
      <w:tr>
        <w:trPr/>
        <w:tc>
          <w:tcPr>
            <w:tcW w:w="25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подпись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расшифровка подписи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дата согласования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eastAsia="Source Han Sans CN Regular" w:cs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Source Han Sans CN Regular" w:cs="Lohit Devanagari"/>
                <w:color w:val="000000"/>
                <w:kern w:val="2"/>
                <w:szCs w:val="24"/>
                <w:lang w:val="ru-RU" w:eastAsia="ru-RU" w:bidi="ru-RU"/>
              </w:rPr>
            </w:pPr>
            <w:r>
              <w:rPr>
                <w:rFonts w:eastAsia="Source Han Sans CN Regular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 xml:space="preserve">Разослано: </w:t>
            </w: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 xml:space="preserve">в дело, администрациям районов – 6, 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 xml:space="preserve">Комитет градостроительства и архитектуры, КУМИ, </w:t>
            </w: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правовое управление (регистр), управление информационной политики и социальных коммуникаций</w:t>
            </w:r>
            <w:bookmarkStart w:id="2" w:name="OLE_LINK84"/>
            <w:bookmarkStart w:id="3" w:name="OLE_LINK83"/>
            <w:bookmarkStart w:id="4" w:name="OLE_LINK82"/>
            <w:bookmarkStart w:id="5" w:name="OLE_LINK81"/>
            <w:bookmarkEnd w:id="2"/>
            <w:bookmarkEnd w:id="3"/>
            <w:bookmarkEnd w:id="4"/>
            <w:bookmarkEnd w:id="5"/>
          </w:p>
        </w:tc>
      </w:tr>
    </w:tbl>
    <w:p>
      <w:pPr>
        <w:pStyle w:val="Normal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sectPr>
      <w:headerReference w:type="default" r:id="rId19"/>
      <w:headerReference w:type="first" r:id="rId20"/>
      <w:footerReference w:type="default" r:id="rId21"/>
      <w:footerReference w:type="first" r:id="rId22"/>
      <w:type w:val="nextPage"/>
      <w:pgSz w:w="11906" w:h="16838"/>
      <w:pgMar w:left="1418" w:right="851" w:gutter="0" w:header="709" w:top="1134" w:footer="709" w:bottom="1134"/>
      <w:pgNumType w:start="1" w:fmt="decimal"/>
      <w:formProt w:val="false"/>
      <w:titlePg/>
      <w:textDirection w:val="lrTb"/>
      <w:docGrid w:type="default" w:linePitch="381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auto"/>
    <w:pitch w:val="default"/>
  </w:font>
  <w:font w:name="Liberation Mono">
    <w:altName w:val="Courier New"/>
    <w:charset w:val="01"/>
    <w:family w:val="auto"/>
    <w:pitch w:val="default"/>
  </w:font>
  <w:font w:name="Tahoma">
    <w:charset w:val="01"/>
    <w:family w:val="swiss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Tinos">
    <w:charset w:val="01"/>
    <w:family w:val="auto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819"/>
        <w:tab w:val="right" w:pos="9638" w:leader="none"/>
      </w:tabs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819"/>
        <w:tab w:val="right" w:pos="9638" w:leader="none"/>
      </w:tabs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  <w:fldChar w:fldCharType="begin"/>
    </w:r>
    <w:r>
      <w:rPr>
        <w:sz w:val="20"/>
        <w:szCs w:val="20"/>
        <w:rFonts w:cs="Times New Roman" w:ascii="Times New Roman" w:hAnsi="Times New Roman"/>
      </w:rPr>
      <w:instrText xml:space="preserve"> PAGE </w:instrText>
    </w:r>
    <w:r>
      <w:rPr>
        <w:sz w:val="20"/>
        <w:szCs w:val="20"/>
        <w:rFonts w:cs="Times New Roman" w:ascii="Times New Roman" w:hAnsi="Times New Roman"/>
      </w:rPr>
      <w:fldChar w:fldCharType="separate"/>
    </w:r>
    <w:r>
      <w:rPr>
        <w:sz w:val="20"/>
        <w:szCs w:val="20"/>
        <w:rFonts w:cs="Times New Roman" w:ascii="Times New Roman" w:hAnsi="Times New Roman"/>
      </w:rPr>
      <w:t>3</w:t>
    </w:r>
    <w:r>
      <w:rPr>
        <w:sz w:val="20"/>
        <w:szCs w:val="20"/>
        <w:rFonts w:cs="Times New Roman"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  <w:fldChar w:fldCharType="begin"/>
    </w:r>
    <w:r>
      <w:rPr>
        <w:sz w:val="20"/>
        <w:szCs w:val="20"/>
        <w:rFonts w:cs="Times New Roman" w:ascii="Times New Roman" w:hAnsi="Times New Roman"/>
      </w:rPr>
      <w:instrText xml:space="preserve"> PAGE </w:instrText>
    </w:r>
    <w:r>
      <w:rPr>
        <w:sz w:val="20"/>
        <w:szCs w:val="20"/>
        <w:rFonts w:cs="Times New Roman" w:ascii="Times New Roman" w:hAnsi="Times New Roman"/>
      </w:rPr>
      <w:fldChar w:fldCharType="separate"/>
    </w:r>
    <w:r>
      <w:rPr>
        <w:sz w:val="20"/>
        <w:szCs w:val="20"/>
        <w:rFonts w:cs="Times New Roman" w:ascii="Times New Roman" w:hAnsi="Times New Roman"/>
      </w:rPr>
      <w:t>2</w:t>
    </w:r>
    <w:r>
      <w:rPr>
        <w:sz w:val="20"/>
        <w:szCs w:val="20"/>
        <w:rFonts w:cs="Times New Roman"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23269"/>
    <w:pPr>
      <w:widowControl w:val="false"/>
      <w:suppressAutoHyphens w:val="true"/>
      <w:bidi w:val="0"/>
      <w:spacing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4"/>
    <w:next w:val="BodyTextFirstIndent"/>
    <w:qFormat/>
    <w:rsid w:val="00d23269"/>
    <w:pPr>
      <w:outlineLvl w:val="0"/>
    </w:pPr>
    <w:rPr/>
  </w:style>
  <w:style w:type="paragraph" w:styleId="Heading2">
    <w:name w:val="heading 2"/>
    <w:basedOn w:val="Style24"/>
    <w:next w:val="BodyText"/>
    <w:qFormat/>
    <w:rsid w:val="00d23269"/>
    <w:pPr>
      <w:outlineLvl w:val="1"/>
    </w:pPr>
    <w:rPr/>
  </w:style>
  <w:style w:type="paragraph" w:styleId="Heading3">
    <w:name w:val="heading 3"/>
    <w:basedOn w:val="Style24"/>
    <w:next w:val="BodyText"/>
    <w:qFormat/>
    <w:rsid w:val="00d23269"/>
    <w:pPr>
      <w:outlineLvl w:val="2"/>
    </w:pPr>
    <w:rPr/>
  </w:style>
  <w:style w:type="paragraph" w:styleId="Heading4">
    <w:name w:val="heading 4"/>
    <w:basedOn w:val="Style24"/>
    <w:next w:val="BodyText"/>
    <w:qFormat/>
    <w:rsid w:val="00d23269"/>
    <w:pPr>
      <w:outlineLvl w:val="3"/>
    </w:pPr>
    <w:rPr/>
  </w:style>
  <w:style w:type="paragraph" w:styleId="Heading5">
    <w:name w:val="heading 5"/>
    <w:basedOn w:val="Style24"/>
    <w:next w:val="BodyText"/>
    <w:qFormat/>
    <w:rsid w:val="00d23269"/>
    <w:pPr>
      <w:outlineLvl w:val="4"/>
    </w:pPr>
    <w:rPr/>
  </w:style>
  <w:style w:type="paragraph" w:styleId="Heading6">
    <w:name w:val="heading 6"/>
    <w:basedOn w:val="Style24"/>
    <w:next w:val="BodyText"/>
    <w:qFormat/>
    <w:rsid w:val="00d23269"/>
    <w:pPr>
      <w:outlineLvl w:val="5"/>
    </w:pPr>
    <w:rPr/>
  </w:style>
  <w:style w:type="paragraph" w:styleId="Heading7">
    <w:name w:val="heading 7"/>
    <w:basedOn w:val="Style24"/>
    <w:next w:val="BodyText"/>
    <w:qFormat/>
    <w:rsid w:val="00d23269"/>
    <w:pPr>
      <w:outlineLvl w:val="6"/>
    </w:pPr>
    <w:rPr/>
  </w:style>
  <w:style w:type="paragraph" w:styleId="Heading8">
    <w:name w:val="heading 8"/>
    <w:basedOn w:val="Style24"/>
    <w:next w:val="BodyText"/>
    <w:qFormat/>
    <w:rsid w:val="00d23269"/>
    <w:pPr>
      <w:outlineLvl w:val="7"/>
    </w:pPr>
    <w:rPr/>
  </w:style>
  <w:style w:type="paragraph" w:styleId="Heading9">
    <w:name w:val="heading 9"/>
    <w:basedOn w:val="Style24"/>
    <w:next w:val="BodyText"/>
    <w:qFormat/>
    <w:rsid w:val="00d23269"/>
    <w:pPr>
      <w:outlineLvl w:val="8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Символ нумерации"/>
    <w:qFormat/>
    <w:rsid w:val="00d23269"/>
    <w:rPr/>
  </w:style>
  <w:style w:type="character" w:styleId="Style6" w:customStyle="1">
    <w:name w:val="Маркеры"/>
    <w:qFormat/>
    <w:rsid w:val="00d23269"/>
    <w:rPr>
      <w:rFonts w:ascii="OpenSymbol" w:hAnsi="OpenSymbol" w:eastAsia="OpenSymbol" w:cs="OpenSymbol"/>
    </w:rPr>
  </w:style>
  <w:style w:type="character" w:styleId="Style7">
    <w:name w:val="Символ сноски"/>
    <w:qFormat/>
    <w:rsid w:val="00d06d4f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sid w:val="00d23269"/>
    <w:rPr/>
  </w:style>
  <w:style w:type="character" w:styleId="Style8" w:customStyle="1">
    <w:name w:val="Символы названия"/>
    <w:qFormat/>
    <w:rsid w:val="00d23269"/>
    <w:rPr/>
  </w:style>
  <w:style w:type="character" w:styleId="Style9" w:customStyle="1">
    <w:name w:val="Буквица"/>
    <w:qFormat/>
    <w:rsid w:val="00d23269"/>
    <w:rPr/>
  </w:style>
  <w:style w:type="character" w:styleId="Hyperlink">
    <w:name w:val="Hyperlink"/>
    <w:rsid w:val="00d23269"/>
    <w:rPr>
      <w:color w:val="000080"/>
      <w:u w:val="single"/>
    </w:rPr>
  </w:style>
  <w:style w:type="character" w:styleId="FollowedHyperlink">
    <w:name w:val="FollowedHyperlink"/>
    <w:rsid w:val="00d23269"/>
    <w:rPr>
      <w:color w:val="800000"/>
      <w:u w:val="single"/>
    </w:rPr>
  </w:style>
  <w:style w:type="character" w:styleId="Style10" w:customStyle="1">
    <w:name w:val="Заполнитель"/>
    <w:qFormat/>
    <w:rsid w:val="00d23269"/>
    <w:rPr>
      <w:smallCaps/>
      <w:color w:val="008080"/>
      <w:u w:val="dotted"/>
    </w:rPr>
  </w:style>
  <w:style w:type="character" w:styleId="Style11" w:customStyle="1">
    <w:name w:val="Ссылка указателя"/>
    <w:qFormat/>
    <w:rsid w:val="00d23269"/>
    <w:rPr/>
  </w:style>
  <w:style w:type="character" w:styleId="Style12">
    <w:name w:val="Символ концевой сноски"/>
    <w:qFormat/>
    <w:rsid w:val="00d06d4f"/>
    <w:rPr>
      <w:vertAlign w:val="superscript"/>
    </w:rPr>
  </w:style>
  <w:style w:type="character" w:styleId="LineNumber">
    <w:name w:val="line number"/>
    <w:rsid w:val="00d23269"/>
    <w:rPr/>
  </w:style>
  <w:style w:type="character" w:styleId="Style13" w:customStyle="1">
    <w:name w:val="Основной элемент указателя"/>
    <w:qFormat/>
    <w:rsid w:val="00d23269"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 w:customStyle="1">
    <w:name w:val="Фуригана"/>
    <w:qFormat/>
    <w:rsid w:val="00d23269"/>
    <w:rPr>
      <w:sz w:val="12"/>
      <w:szCs w:val="12"/>
      <w:u w:val="none"/>
      <w:em w:val="none"/>
    </w:rPr>
  </w:style>
  <w:style w:type="character" w:styleId="Style15" w:customStyle="1">
    <w:name w:val="Вертикальное направление символов"/>
    <w:qFormat/>
    <w:rsid w:val="00d23269"/>
    <w:rPr>
      <w:eastAsianLayout w:vert="true"/>
    </w:rPr>
  </w:style>
  <w:style w:type="character" w:styleId="Emphasis">
    <w:name w:val="Emphasis"/>
    <w:qFormat/>
    <w:rsid w:val="00d23269"/>
    <w:rPr>
      <w:i/>
      <w:iCs/>
    </w:rPr>
  </w:style>
  <w:style w:type="character" w:styleId="1" w:customStyle="1">
    <w:name w:val="Цитата1"/>
    <w:qFormat/>
    <w:rsid w:val="00d23269"/>
    <w:rPr>
      <w:i/>
      <w:iCs/>
    </w:rPr>
  </w:style>
  <w:style w:type="character" w:styleId="Strong">
    <w:name w:val="Strong"/>
    <w:qFormat/>
    <w:rsid w:val="00d23269"/>
    <w:rPr>
      <w:b/>
      <w:bCs/>
    </w:rPr>
  </w:style>
  <w:style w:type="character" w:styleId="Style16" w:customStyle="1">
    <w:name w:val="Исходный текст"/>
    <w:qFormat/>
    <w:rsid w:val="00d23269"/>
    <w:rPr>
      <w:rFonts w:ascii="Liberation Mono" w:hAnsi="Liberation Mono" w:eastAsia="Liberation Mono" w:cs="Liberation Mono"/>
    </w:rPr>
  </w:style>
  <w:style w:type="character" w:styleId="Style17" w:customStyle="1">
    <w:name w:val="Пример"/>
    <w:qFormat/>
    <w:rsid w:val="00d23269"/>
    <w:rPr>
      <w:rFonts w:ascii="Liberation Mono" w:hAnsi="Liberation Mono" w:eastAsia="Liberation Mono" w:cs="Liberation Mono"/>
    </w:rPr>
  </w:style>
  <w:style w:type="character" w:styleId="Style18" w:customStyle="1">
    <w:name w:val="Ввод пользователя"/>
    <w:qFormat/>
    <w:rsid w:val="00d23269"/>
    <w:rPr>
      <w:rFonts w:ascii="Liberation Mono" w:hAnsi="Liberation Mono" w:eastAsia="Liberation Mono" w:cs="Liberation Mono"/>
    </w:rPr>
  </w:style>
  <w:style w:type="character" w:styleId="Style19" w:customStyle="1">
    <w:name w:val="Переменная"/>
    <w:qFormat/>
    <w:rsid w:val="00d23269"/>
    <w:rPr>
      <w:i/>
      <w:iCs/>
    </w:rPr>
  </w:style>
  <w:style w:type="character" w:styleId="Style20" w:customStyle="1">
    <w:name w:val="Определение"/>
    <w:qFormat/>
    <w:rsid w:val="00d23269"/>
    <w:rPr/>
  </w:style>
  <w:style w:type="character" w:styleId="Style21" w:customStyle="1">
    <w:name w:val="Непропорциональный текст"/>
    <w:qFormat/>
    <w:rsid w:val="00d23269"/>
    <w:rPr>
      <w:rFonts w:ascii="Liberation Mono" w:hAnsi="Liberation Mono" w:eastAsia="Liberation Mono" w:cs="Liberation Mono"/>
    </w:rPr>
  </w:style>
  <w:style w:type="character" w:styleId="Style22" w:customStyle="1">
    <w:name w:val="Текст выноски Знак"/>
    <w:basedOn w:val="DefaultParagraphFont"/>
    <w:link w:val="BalloonText"/>
    <w:uiPriority w:val="99"/>
    <w:semiHidden/>
    <w:qFormat/>
    <w:rsid w:val="00ff4577"/>
    <w:rPr>
      <w:rFonts w:ascii="Tahoma" w:hAnsi="Tahoma" w:cs="Tahoma"/>
      <w:sz w:val="16"/>
      <w:szCs w:val="16"/>
    </w:rPr>
  </w:style>
  <w:style w:type="character" w:styleId="Style23" w:customStyle="1">
    <w:name w:val="Верхний колонтитул Знак"/>
    <w:basedOn w:val="DefaultParagraphFont"/>
    <w:uiPriority w:val="99"/>
    <w:qFormat/>
    <w:rsid w:val="00ff4577"/>
    <w:rPr>
      <w:rFonts w:ascii="PT Astra Serif" w:hAnsi="PT Astra Serif"/>
      <w:sz w:val="28"/>
    </w:rPr>
  </w:style>
  <w:style w:type="paragraph" w:styleId="Style24" w:customStyle="1">
    <w:name w:val="Заголовок"/>
    <w:basedOn w:val="Normal"/>
    <w:next w:val="BodyTextFirstIndent"/>
    <w:qFormat/>
    <w:rsid w:val="00d23269"/>
    <w:pPr/>
    <w:rPr>
      <w:b/>
    </w:rPr>
  </w:style>
  <w:style w:type="paragraph" w:styleId="BodyText">
    <w:name w:val="Body Text"/>
    <w:basedOn w:val="Normal"/>
    <w:rsid w:val="00d23269"/>
    <w:pPr>
      <w:jc w:val="both"/>
    </w:pPr>
    <w:rPr/>
  </w:style>
  <w:style w:type="paragraph" w:styleId="List">
    <w:name w:val="List"/>
    <w:basedOn w:val="BodyText"/>
    <w:rsid w:val="00d23269"/>
    <w:pPr/>
    <w:rPr/>
  </w:style>
  <w:style w:type="paragraph" w:styleId="Caption">
    <w:name w:val="caption"/>
    <w:basedOn w:val="Normal"/>
    <w:qFormat/>
    <w:rsid w:val="00d23269"/>
    <w:pPr/>
    <w:rPr/>
  </w:style>
  <w:style w:type="paragraph" w:styleId="Style2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" w:customStyle="1">
    <w:name w:val="Указатель1"/>
    <w:basedOn w:val="Normal"/>
    <w:qFormat/>
    <w:rsid w:val="00d23269"/>
    <w:pPr>
      <w:jc w:val="left"/>
    </w:pPr>
    <w:rPr/>
  </w:style>
  <w:style w:type="paragraph" w:styleId="IndexHeading">
    <w:name w:val="index heading"/>
    <w:basedOn w:val="Style24"/>
    <w:rsid w:val="00d23269"/>
    <w:pPr/>
    <w:rPr/>
  </w:style>
  <w:style w:type="paragraph" w:styleId="Style26" w:customStyle="1">
    <w:name w:val="Блочная цитата"/>
    <w:basedOn w:val="Normal"/>
    <w:qFormat/>
    <w:rsid w:val="00d23269"/>
    <w:pPr/>
    <w:rPr/>
  </w:style>
  <w:style w:type="paragraph" w:styleId="Title">
    <w:name w:val="Title"/>
    <w:basedOn w:val="Normal"/>
    <w:next w:val="BodyTextFirstIndent"/>
    <w:qFormat/>
    <w:rsid w:val="00d23269"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rsid w:val="00d23269"/>
    <w:pPr>
      <w:ind w:left="709"/>
      <w:jc w:val="both"/>
    </w:pPr>
    <w:rPr>
      <w:b/>
    </w:rPr>
  </w:style>
  <w:style w:type="paragraph" w:styleId="BodyTextFirstIndent">
    <w:name w:val="Body Text First Indent"/>
    <w:basedOn w:val="Normal"/>
    <w:rsid w:val="00d23269"/>
    <w:pPr>
      <w:ind w:firstLine="709"/>
      <w:jc w:val="both"/>
    </w:pPr>
    <w:rPr/>
  </w:style>
  <w:style w:type="paragraph" w:styleId="Style27" w:customStyle="1">
    <w:name w:val="Обратный отступ"/>
    <w:basedOn w:val="BodyText"/>
    <w:qFormat/>
    <w:rsid w:val="00d23269"/>
    <w:pPr>
      <w:tabs>
        <w:tab w:val="clear" w:pos="709"/>
        <w:tab w:val="left" w:pos="0" w:leader="none"/>
      </w:tabs>
    </w:pPr>
    <w:rPr/>
  </w:style>
  <w:style w:type="paragraph" w:styleId="BodyTextIndent">
    <w:name w:val="Body Text Indent"/>
    <w:basedOn w:val="BodyText"/>
    <w:rsid w:val="00d23269"/>
    <w:pPr/>
    <w:rPr/>
  </w:style>
  <w:style w:type="paragraph" w:styleId="Salutation">
    <w:name w:val="Salutation"/>
    <w:basedOn w:val="Normal"/>
    <w:rsid w:val="00d23269"/>
    <w:pPr/>
    <w:rPr/>
  </w:style>
  <w:style w:type="paragraph" w:styleId="Signature">
    <w:name w:val="Signature"/>
    <w:basedOn w:val="Normal"/>
    <w:rsid w:val="00d23269"/>
    <w:pPr>
      <w:tabs>
        <w:tab w:val="clear" w:pos="709"/>
        <w:tab w:val="right" w:pos="31680" w:leader="none"/>
      </w:tabs>
      <w:jc w:val="left"/>
    </w:pPr>
    <w:rPr/>
  </w:style>
  <w:style w:type="paragraph" w:styleId="Style28" w:customStyle="1">
    <w:name w:val="Отступы"/>
    <w:basedOn w:val="BodyText"/>
    <w:qFormat/>
    <w:rsid w:val="00d23269"/>
    <w:pPr>
      <w:tabs>
        <w:tab w:val="clear" w:pos="709"/>
        <w:tab w:val="left" w:pos="0" w:leader="none"/>
      </w:tabs>
    </w:pPr>
    <w:rPr/>
  </w:style>
  <w:style w:type="paragraph" w:styleId="CommentText">
    <w:name w:val="annotation text"/>
    <w:basedOn w:val="BodyText"/>
    <w:rsid w:val="00d23269"/>
    <w:pPr/>
    <w:rPr/>
  </w:style>
  <w:style w:type="paragraph" w:styleId="10" w:customStyle="1">
    <w:name w:val="Заголовок 10"/>
    <w:basedOn w:val="Style24"/>
    <w:next w:val="BodyText"/>
    <w:qFormat/>
    <w:rsid w:val="00d23269"/>
    <w:pPr/>
    <w:rPr/>
  </w:style>
  <w:style w:type="paragraph" w:styleId="12" w:customStyle="1">
    <w:name w:val="Нумерованный 1 начало"/>
    <w:basedOn w:val="List"/>
    <w:next w:val="ListNumber"/>
    <w:qFormat/>
    <w:rsid w:val="00d23269"/>
    <w:pPr/>
    <w:rPr/>
  </w:style>
  <w:style w:type="paragraph" w:styleId="ListNumber">
    <w:name w:val="List Number"/>
    <w:basedOn w:val="List"/>
    <w:rsid w:val="00d23269"/>
    <w:pPr>
      <w:numPr>
        <w:ilvl w:val="0"/>
        <w:numId w:val="1"/>
      </w:numPr>
    </w:pPr>
    <w:rPr/>
  </w:style>
  <w:style w:type="paragraph" w:styleId="13" w:customStyle="1">
    <w:name w:val="Нумерованный 1 конец"/>
    <w:basedOn w:val="List"/>
    <w:next w:val="ListNumber"/>
    <w:qFormat/>
    <w:rsid w:val="00d23269"/>
    <w:pPr/>
    <w:rPr/>
  </w:style>
  <w:style w:type="paragraph" w:styleId="14" w:customStyle="1">
    <w:name w:val="Нумерованный 1 прод."/>
    <w:basedOn w:val="List"/>
    <w:qFormat/>
    <w:rsid w:val="00d23269"/>
    <w:pPr/>
    <w:rPr/>
  </w:style>
  <w:style w:type="paragraph" w:styleId="2" w:customStyle="1">
    <w:name w:val="Нумерованный 2 начало"/>
    <w:basedOn w:val="List"/>
    <w:next w:val="ListNumber2"/>
    <w:qFormat/>
    <w:rsid w:val="00d23269"/>
    <w:pPr/>
    <w:rPr/>
  </w:style>
  <w:style w:type="paragraph" w:styleId="ListNumber2">
    <w:name w:val="List Number 2"/>
    <w:basedOn w:val="List"/>
    <w:rsid w:val="00d23269"/>
    <w:pPr/>
    <w:rPr/>
  </w:style>
  <w:style w:type="paragraph" w:styleId="21" w:customStyle="1">
    <w:name w:val="Нумерованный 2 конец"/>
    <w:basedOn w:val="List"/>
    <w:next w:val="ListNumber2"/>
    <w:qFormat/>
    <w:rsid w:val="00d23269"/>
    <w:pPr/>
    <w:rPr/>
  </w:style>
  <w:style w:type="paragraph" w:styleId="22" w:customStyle="1">
    <w:name w:val="Нумерованный 2 прод."/>
    <w:basedOn w:val="List"/>
    <w:qFormat/>
    <w:rsid w:val="00d23269"/>
    <w:pPr/>
    <w:rPr/>
  </w:style>
  <w:style w:type="paragraph" w:styleId="3" w:customStyle="1">
    <w:name w:val="Нумерованный 3 начало"/>
    <w:basedOn w:val="List"/>
    <w:next w:val="ListNumber3"/>
    <w:qFormat/>
    <w:rsid w:val="00d23269"/>
    <w:pPr/>
    <w:rPr/>
  </w:style>
  <w:style w:type="paragraph" w:styleId="ListNumber3">
    <w:name w:val="List Number 3"/>
    <w:basedOn w:val="List"/>
    <w:rsid w:val="00d23269"/>
    <w:pPr/>
    <w:rPr/>
  </w:style>
  <w:style w:type="paragraph" w:styleId="31" w:customStyle="1">
    <w:name w:val="Нумерованный 3 конец"/>
    <w:basedOn w:val="List"/>
    <w:next w:val="ListNumber3"/>
    <w:qFormat/>
    <w:rsid w:val="00d23269"/>
    <w:pPr/>
    <w:rPr/>
  </w:style>
  <w:style w:type="paragraph" w:styleId="32" w:customStyle="1">
    <w:name w:val="Нумерованный 3 прод."/>
    <w:basedOn w:val="List"/>
    <w:qFormat/>
    <w:rsid w:val="00d23269"/>
    <w:pPr/>
    <w:rPr/>
  </w:style>
  <w:style w:type="paragraph" w:styleId="4" w:customStyle="1">
    <w:name w:val="Нумерованный 4 начало"/>
    <w:basedOn w:val="List"/>
    <w:next w:val="ListNumber4"/>
    <w:qFormat/>
    <w:rsid w:val="00d23269"/>
    <w:pPr/>
    <w:rPr/>
  </w:style>
  <w:style w:type="paragraph" w:styleId="ListNumber4">
    <w:name w:val="List Number 4"/>
    <w:basedOn w:val="List"/>
    <w:rsid w:val="00d23269"/>
    <w:pPr/>
    <w:rPr/>
  </w:style>
  <w:style w:type="paragraph" w:styleId="41" w:customStyle="1">
    <w:name w:val="Нумерованный 4 конец"/>
    <w:basedOn w:val="List"/>
    <w:next w:val="ListNumber4"/>
    <w:qFormat/>
    <w:rsid w:val="00d23269"/>
    <w:pPr/>
    <w:rPr/>
  </w:style>
  <w:style w:type="paragraph" w:styleId="42" w:customStyle="1">
    <w:name w:val="Нумерованный 4 прод."/>
    <w:basedOn w:val="List"/>
    <w:qFormat/>
    <w:rsid w:val="00d23269"/>
    <w:pPr/>
    <w:rPr/>
  </w:style>
  <w:style w:type="paragraph" w:styleId="5" w:customStyle="1">
    <w:name w:val="Нумерованный 5 начало"/>
    <w:basedOn w:val="List"/>
    <w:next w:val="ListNumber5"/>
    <w:qFormat/>
    <w:rsid w:val="00d23269"/>
    <w:pPr/>
    <w:rPr/>
  </w:style>
  <w:style w:type="paragraph" w:styleId="ListNumber5">
    <w:name w:val="List Number 5"/>
    <w:basedOn w:val="List"/>
    <w:rsid w:val="00d23269"/>
    <w:pPr/>
    <w:rPr/>
  </w:style>
  <w:style w:type="paragraph" w:styleId="51" w:customStyle="1">
    <w:name w:val="Нумерованный 5 конец"/>
    <w:basedOn w:val="List"/>
    <w:next w:val="ListNumber5"/>
    <w:qFormat/>
    <w:rsid w:val="00d23269"/>
    <w:pPr/>
    <w:rPr/>
  </w:style>
  <w:style w:type="paragraph" w:styleId="52" w:customStyle="1">
    <w:name w:val="Нумерованный 5 прод."/>
    <w:basedOn w:val="List"/>
    <w:qFormat/>
    <w:rsid w:val="00d23269"/>
    <w:pPr/>
    <w:rPr/>
  </w:style>
  <w:style w:type="paragraph" w:styleId="15" w:customStyle="1">
    <w:name w:val="Список 1 начало"/>
    <w:basedOn w:val="List"/>
    <w:next w:val="ListBullet"/>
    <w:qFormat/>
    <w:rsid w:val="00d23269"/>
    <w:pPr/>
    <w:rPr/>
  </w:style>
  <w:style w:type="paragraph" w:styleId="ListBullet">
    <w:name w:val="List Bullet"/>
    <w:basedOn w:val="List"/>
    <w:rsid w:val="00d23269"/>
    <w:pPr>
      <w:numPr>
        <w:ilvl w:val="0"/>
        <w:numId w:val="2"/>
      </w:numPr>
    </w:pPr>
    <w:rPr/>
  </w:style>
  <w:style w:type="paragraph" w:styleId="16" w:customStyle="1">
    <w:name w:val="Список 1 конец"/>
    <w:basedOn w:val="List"/>
    <w:next w:val="ListBullet"/>
    <w:qFormat/>
    <w:rsid w:val="00d23269"/>
    <w:pPr/>
    <w:rPr/>
  </w:style>
  <w:style w:type="paragraph" w:styleId="ListContinue">
    <w:name w:val="List Continue"/>
    <w:basedOn w:val="List"/>
    <w:rsid w:val="00d23269"/>
    <w:pPr/>
    <w:rPr/>
  </w:style>
  <w:style w:type="paragraph" w:styleId="23" w:customStyle="1">
    <w:name w:val="Список 2 начало"/>
    <w:basedOn w:val="List"/>
    <w:next w:val="ListBullet2"/>
    <w:qFormat/>
    <w:rsid w:val="00d23269"/>
    <w:pPr/>
    <w:rPr/>
  </w:style>
  <w:style w:type="paragraph" w:styleId="ListBullet2">
    <w:name w:val="List Bullet 2"/>
    <w:basedOn w:val="List"/>
    <w:rsid w:val="00d23269"/>
    <w:pPr/>
    <w:rPr/>
  </w:style>
  <w:style w:type="paragraph" w:styleId="24" w:customStyle="1">
    <w:name w:val="Список 2 конец"/>
    <w:basedOn w:val="List"/>
    <w:next w:val="ListBullet2"/>
    <w:qFormat/>
    <w:rsid w:val="00d23269"/>
    <w:pPr/>
    <w:rPr/>
  </w:style>
  <w:style w:type="paragraph" w:styleId="ListContinue2">
    <w:name w:val="List Continue 2"/>
    <w:basedOn w:val="List"/>
    <w:rsid w:val="00d23269"/>
    <w:pPr/>
    <w:rPr/>
  </w:style>
  <w:style w:type="paragraph" w:styleId="33" w:customStyle="1">
    <w:name w:val="Список 3 начало"/>
    <w:basedOn w:val="List"/>
    <w:next w:val="ListBullet3"/>
    <w:qFormat/>
    <w:rsid w:val="00d23269"/>
    <w:pPr/>
    <w:rPr/>
  </w:style>
  <w:style w:type="paragraph" w:styleId="ListBullet3">
    <w:name w:val="List Bullet 3"/>
    <w:basedOn w:val="List"/>
    <w:rsid w:val="00d23269"/>
    <w:pPr/>
    <w:rPr/>
  </w:style>
  <w:style w:type="paragraph" w:styleId="34" w:customStyle="1">
    <w:name w:val="Список 3 конец"/>
    <w:basedOn w:val="List"/>
    <w:next w:val="ListBullet3"/>
    <w:qFormat/>
    <w:rsid w:val="00d23269"/>
    <w:pPr/>
    <w:rPr/>
  </w:style>
  <w:style w:type="paragraph" w:styleId="ListContinue3">
    <w:name w:val="List Continue 3"/>
    <w:basedOn w:val="List"/>
    <w:rsid w:val="00d23269"/>
    <w:pPr/>
    <w:rPr/>
  </w:style>
  <w:style w:type="paragraph" w:styleId="43" w:customStyle="1">
    <w:name w:val="Список 4 начало"/>
    <w:basedOn w:val="List"/>
    <w:next w:val="ListBullet4"/>
    <w:qFormat/>
    <w:rsid w:val="00d23269"/>
    <w:pPr/>
    <w:rPr/>
  </w:style>
  <w:style w:type="paragraph" w:styleId="ListBullet4">
    <w:name w:val="List Bullet 4"/>
    <w:basedOn w:val="List"/>
    <w:rsid w:val="00d23269"/>
    <w:pPr/>
    <w:rPr/>
  </w:style>
  <w:style w:type="paragraph" w:styleId="44" w:customStyle="1">
    <w:name w:val="Список 4 конец"/>
    <w:basedOn w:val="List"/>
    <w:next w:val="ListBullet4"/>
    <w:qFormat/>
    <w:rsid w:val="00d23269"/>
    <w:pPr/>
    <w:rPr/>
  </w:style>
  <w:style w:type="paragraph" w:styleId="ListContinue4">
    <w:name w:val="List Continue 4"/>
    <w:basedOn w:val="List"/>
    <w:rsid w:val="00d23269"/>
    <w:pPr/>
    <w:rPr/>
  </w:style>
  <w:style w:type="paragraph" w:styleId="53" w:customStyle="1">
    <w:name w:val="Список 5 начало"/>
    <w:basedOn w:val="List"/>
    <w:next w:val="ListBullet5"/>
    <w:qFormat/>
    <w:rsid w:val="00d23269"/>
    <w:pPr/>
    <w:rPr/>
  </w:style>
  <w:style w:type="paragraph" w:styleId="ListBullet5">
    <w:name w:val="List Bullet 5"/>
    <w:basedOn w:val="List"/>
    <w:rsid w:val="00d23269"/>
    <w:pPr/>
    <w:rPr/>
  </w:style>
  <w:style w:type="paragraph" w:styleId="54" w:customStyle="1">
    <w:name w:val="Список 5 конец"/>
    <w:basedOn w:val="List"/>
    <w:next w:val="ListBullet5"/>
    <w:qFormat/>
    <w:rsid w:val="00d23269"/>
    <w:pPr/>
    <w:rPr/>
  </w:style>
  <w:style w:type="paragraph" w:styleId="ListContinue5">
    <w:name w:val="List Continue 5"/>
    <w:basedOn w:val="List"/>
    <w:rsid w:val="00d23269"/>
    <w:pPr/>
    <w:rPr/>
  </w:style>
  <w:style w:type="paragraph" w:styleId="Index1">
    <w:name w:val="index 1"/>
    <w:basedOn w:val="11"/>
    <w:rsid w:val="00d23269"/>
    <w:pPr/>
    <w:rPr/>
  </w:style>
  <w:style w:type="paragraph" w:styleId="Index2">
    <w:name w:val="index 2"/>
    <w:basedOn w:val="11"/>
    <w:rsid w:val="00d23269"/>
    <w:pPr/>
    <w:rPr/>
  </w:style>
  <w:style w:type="paragraph" w:styleId="Index3">
    <w:name w:val="index 3"/>
    <w:basedOn w:val="11"/>
    <w:rsid w:val="00d23269"/>
    <w:pPr/>
    <w:rPr/>
  </w:style>
  <w:style w:type="paragraph" w:styleId="Style29" w:customStyle="1">
    <w:name w:val="Разделитель предметного указателя"/>
    <w:basedOn w:val="11"/>
    <w:qFormat/>
    <w:rsid w:val="00d23269"/>
    <w:pPr/>
    <w:rPr/>
  </w:style>
  <w:style w:type="paragraph" w:styleId="TOCHeading">
    <w:name w:val="TOC Heading"/>
    <w:basedOn w:val="Style24"/>
    <w:next w:val="TOC1"/>
    <w:qFormat/>
    <w:rsid w:val="00d23269"/>
    <w:pPr/>
    <w:rPr/>
  </w:style>
  <w:style w:type="paragraph" w:styleId="TOC1">
    <w:name w:val="toc 1"/>
    <w:basedOn w:val="11"/>
    <w:rsid w:val="00d23269"/>
    <w:pPr>
      <w:tabs>
        <w:tab w:val="clear" w:pos="709"/>
        <w:tab w:val="right" w:pos="9638" w:leader="dot"/>
      </w:tabs>
    </w:pPr>
    <w:rPr/>
  </w:style>
  <w:style w:type="paragraph" w:styleId="TOC2">
    <w:name w:val="toc 2"/>
    <w:basedOn w:val="11"/>
    <w:rsid w:val="00d23269"/>
    <w:pPr>
      <w:tabs>
        <w:tab w:val="clear" w:pos="709"/>
        <w:tab w:val="right" w:pos="9355" w:leader="dot"/>
      </w:tabs>
    </w:pPr>
    <w:rPr/>
  </w:style>
  <w:style w:type="paragraph" w:styleId="TOC3">
    <w:name w:val="toc 3"/>
    <w:basedOn w:val="11"/>
    <w:rsid w:val="00d23269"/>
    <w:pPr>
      <w:tabs>
        <w:tab w:val="clear" w:pos="709"/>
        <w:tab w:val="right" w:pos="9072" w:leader="dot"/>
      </w:tabs>
    </w:pPr>
    <w:rPr/>
  </w:style>
  <w:style w:type="paragraph" w:styleId="TOC4">
    <w:name w:val="toc 4"/>
    <w:basedOn w:val="11"/>
    <w:rsid w:val="00d23269"/>
    <w:pPr>
      <w:tabs>
        <w:tab w:val="clear" w:pos="709"/>
        <w:tab w:val="right" w:pos="8789" w:leader="dot"/>
      </w:tabs>
    </w:pPr>
    <w:rPr/>
  </w:style>
  <w:style w:type="paragraph" w:styleId="TOC5">
    <w:name w:val="toc 5"/>
    <w:basedOn w:val="11"/>
    <w:rsid w:val="00d23269"/>
    <w:pPr>
      <w:tabs>
        <w:tab w:val="clear" w:pos="709"/>
        <w:tab w:val="right" w:pos="8506" w:leader="dot"/>
      </w:tabs>
    </w:pPr>
    <w:rPr/>
  </w:style>
  <w:style w:type="paragraph" w:styleId="Style30" w:customStyle="1">
    <w:name w:val="Заголовок указателей пользователя"/>
    <w:basedOn w:val="Style24"/>
    <w:qFormat/>
    <w:rsid w:val="00d23269"/>
    <w:pPr/>
    <w:rPr/>
  </w:style>
  <w:style w:type="paragraph" w:styleId="17" w:customStyle="1">
    <w:name w:val="Указатель пользователя 1"/>
    <w:basedOn w:val="11"/>
    <w:qFormat/>
    <w:rsid w:val="00d23269"/>
    <w:pPr>
      <w:tabs>
        <w:tab w:val="clear" w:pos="709"/>
        <w:tab w:val="right" w:pos="9638" w:leader="dot"/>
      </w:tabs>
    </w:pPr>
    <w:rPr/>
  </w:style>
  <w:style w:type="paragraph" w:styleId="25" w:customStyle="1">
    <w:name w:val="Указатель пользователя 2"/>
    <w:basedOn w:val="11"/>
    <w:qFormat/>
    <w:rsid w:val="00d23269"/>
    <w:pPr>
      <w:tabs>
        <w:tab w:val="clear" w:pos="709"/>
        <w:tab w:val="right" w:pos="9355" w:leader="dot"/>
      </w:tabs>
    </w:pPr>
    <w:rPr/>
  </w:style>
  <w:style w:type="paragraph" w:styleId="35" w:customStyle="1">
    <w:name w:val="Указатель пользователя 3"/>
    <w:basedOn w:val="11"/>
    <w:qFormat/>
    <w:rsid w:val="00d23269"/>
    <w:pPr>
      <w:tabs>
        <w:tab w:val="clear" w:pos="709"/>
        <w:tab w:val="right" w:pos="9072" w:leader="dot"/>
      </w:tabs>
    </w:pPr>
    <w:rPr/>
  </w:style>
  <w:style w:type="paragraph" w:styleId="45" w:customStyle="1">
    <w:name w:val="Указатель пользователя 4"/>
    <w:basedOn w:val="11"/>
    <w:qFormat/>
    <w:rsid w:val="00d23269"/>
    <w:pPr>
      <w:tabs>
        <w:tab w:val="clear" w:pos="709"/>
        <w:tab w:val="right" w:pos="8789" w:leader="dot"/>
      </w:tabs>
    </w:pPr>
    <w:rPr/>
  </w:style>
  <w:style w:type="paragraph" w:styleId="55" w:customStyle="1">
    <w:name w:val="Указатель пользователя 5"/>
    <w:basedOn w:val="11"/>
    <w:qFormat/>
    <w:rsid w:val="00d23269"/>
    <w:pPr>
      <w:tabs>
        <w:tab w:val="clear" w:pos="709"/>
        <w:tab w:val="right" w:pos="8506" w:leader="dot"/>
      </w:tabs>
    </w:pPr>
    <w:rPr/>
  </w:style>
  <w:style w:type="paragraph" w:styleId="TOC6">
    <w:name w:val="toc 6"/>
    <w:basedOn w:val="11"/>
    <w:rsid w:val="00d23269"/>
    <w:pPr>
      <w:tabs>
        <w:tab w:val="clear" w:pos="709"/>
        <w:tab w:val="right" w:pos="8223" w:leader="dot"/>
      </w:tabs>
    </w:pPr>
    <w:rPr/>
  </w:style>
  <w:style w:type="paragraph" w:styleId="TOC7">
    <w:name w:val="toc 7"/>
    <w:basedOn w:val="11"/>
    <w:rsid w:val="00d23269"/>
    <w:pPr>
      <w:tabs>
        <w:tab w:val="clear" w:pos="709"/>
        <w:tab w:val="right" w:pos="7940" w:leader="dot"/>
      </w:tabs>
    </w:pPr>
    <w:rPr/>
  </w:style>
  <w:style w:type="paragraph" w:styleId="TOC8">
    <w:name w:val="toc 8"/>
    <w:basedOn w:val="11"/>
    <w:rsid w:val="00d23269"/>
    <w:pPr>
      <w:tabs>
        <w:tab w:val="clear" w:pos="709"/>
        <w:tab w:val="right" w:pos="7657" w:leader="dot"/>
      </w:tabs>
    </w:pPr>
    <w:rPr/>
  </w:style>
  <w:style w:type="paragraph" w:styleId="TOC9">
    <w:name w:val="toc 9"/>
    <w:basedOn w:val="11"/>
    <w:rsid w:val="00d23269"/>
    <w:pPr>
      <w:tabs>
        <w:tab w:val="clear" w:pos="709"/>
        <w:tab w:val="right" w:pos="7374" w:leader="dot"/>
      </w:tabs>
    </w:pPr>
    <w:rPr/>
  </w:style>
  <w:style w:type="paragraph" w:styleId="101" w:customStyle="1">
    <w:name w:val="Оглавление 10"/>
    <w:basedOn w:val="11"/>
    <w:qFormat/>
    <w:rsid w:val="00d23269"/>
    <w:pPr>
      <w:tabs>
        <w:tab w:val="clear" w:pos="709"/>
        <w:tab w:val="right" w:pos="7091" w:leader="dot"/>
      </w:tabs>
    </w:pPr>
    <w:rPr/>
  </w:style>
  <w:style w:type="paragraph" w:styleId="IllustrationIndex1" w:customStyle="1">
    <w:name w:val="Illustration Index 1"/>
    <w:basedOn w:val="11"/>
    <w:qFormat/>
    <w:rsid w:val="00d23269"/>
    <w:pPr>
      <w:tabs>
        <w:tab w:val="clear" w:pos="709"/>
        <w:tab w:val="right" w:pos="9638" w:leader="dot"/>
      </w:tabs>
    </w:pPr>
    <w:rPr/>
  </w:style>
  <w:style w:type="paragraph" w:styleId="Style31" w:customStyle="1">
    <w:name w:val="Заголовок списка объектов"/>
    <w:basedOn w:val="Style24"/>
    <w:qFormat/>
    <w:rsid w:val="00d23269"/>
    <w:pPr/>
    <w:rPr/>
  </w:style>
  <w:style w:type="paragraph" w:styleId="18" w:customStyle="1">
    <w:name w:val="Список объектов 1"/>
    <w:basedOn w:val="11"/>
    <w:qFormat/>
    <w:rsid w:val="00d23269"/>
    <w:pPr>
      <w:tabs>
        <w:tab w:val="clear" w:pos="709"/>
        <w:tab w:val="right" w:pos="9638" w:leader="dot"/>
      </w:tabs>
    </w:pPr>
    <w:rPr/>
  </w:style>
  <w:style w:type="paragraph" w:styleId="Style32" w:customStyle="1">
    <w:name w:val="Заголовок списка таблиц"/>
    <w:basedOn w:val="Style24"/>
    <w:qFormat/>
    <w:rsid w:val="00d23269"/>
    <w:pPr/>
    <w:rPr/>
  </w:style>
  <w:style w:type="paragraph" w:styleId="19" w:customStyle="1">
    <w:name w:val="Список таблиц 1"/>
    <w:basedOn w:val="11"/>
    <w:qFormat/>
    <w:rsid w:val="00d23269"/>
    <w:pPr>
      <w:tabs>
        <w:tab w:val="clear" w:pos="709"/>
        <w:tab w:val="right" w:pos="9638" w:leader="dot"/>
      </w:tabs>
    </w:pPr>
    <w:rPr/>
  </w:style>
  <w:style w:type="paragraph" w:styleId="TableofAuthorities">
    <w:name w:val="table of authorities"/>
    <w:basedOn w:val="Style24"/>
    <w:rsid w:val="00d23269"/>
    <w:pPr/>
    <w:rPr/>
  </w:style>
  <w:style w:type="paragraph" w:styleId="110" w:customStyle="1">
    <w:name w:val="Библиография 1"/>
    <w:basedOn w:val="11"/>
    <w:qFormat/>
    <w:rsid w:val="00d23269"/>
    <w:pPr>
      <w:tabs>
        <w:tab w:val="clear" w:pos="709"/>
        <w:tab w:val="right" w:pos="9638" w:leader="dot"/>
      </w:tabs>
    </w:pPr>
    <w:rPr/>
  </w:style>
  <w:style w:type="paragraph" w:styleId="6" w:customStyle="1">
    <w:name w:val="Указатель пользователя 6"/>
    <w:basedOn w:val="11"/>
    <w:qFormat/>
    <w:rsid w:val="00d23269"/>
    <w:pPr>
      <w:tabs>
        <w:tab w:val="clear" w:pos="709"/>
        <w:tab w:val="right" w:pos="8223" w:leader="dot"/>
      </w:tabs>
    </w:pPr>
    <w:rPr/>
  </w:style>
  <w:style w:type="paragraph" w:styleId="7" w:customStyle="1">
    <w:name w:val="Указатель пользователя 7"/>
    <w:basedOn w:val="11"/>
    <w:qFormat/>
    <w:rsid w:val="00d23269"/>
    <w:pPr>
      <w:tabs>
        <w:tab w:val="clear" w:pos="709"/>
        <w:tab w:val="right" w:pos="7940" w:leader="dot"/>
      </w:tabs>
    </w:pPr>
    <w:rPr/>
  </w:style>
  <w:style w:type="paragraph" w:styleId="8" w:customStyle="1">
    <w:name w:val="Указатель пользователя 8"/>
    <w:basedOn w:val="11"/>
    <w:qFormat/>
    <w:rsid w:val="00d23269"/>
    <w:pPr>
      <w:tabs>
        <w:tab w:val="clear" w:pos="709"/>
        <w:tab w:val="right" w:pos="7657" w:leader="dot"/>
      </w:tabs>
    </w:pPr>
    <w:rPr/>
  </w:style>
  <w:style w:type="paragraph" w:styleId="9" w:customStyle="1">
    <w:name w:val="Указатель пользователя 9"/>
    <w:basedOn w:val="11"/>
    <w:qFormat/>
    <w:rsid w:val="00d23269"/>
    <w:pPr>
      <w:tabs>
        <w:tab w:val="clear" w:pos="709"/>
        <w:tab w:val="right" w:pos="7374" w:leader="dot"/>
      </w:tabs>
    </w:pPr>
    <w:rPr/>
  </w:style>
  <w:style w:type="paragraph" w:styleId="102" w:customStyle="1">
    <w:name w:val="Указатель пользователя 10"/>
    <w:basedOn w:val="11"/>
    <w:qFormat/>
    <w:rsid w:val="00d23269"/>
    <w:pPr>
      <w:tabs>
        <w:tab w:val="clear" w:pos="709"/>
        <w:tab w:val="right" w:pos="7091" w:leader="dot"/>
      </w:tabs>
    </w:pPr>
    <w:rPr/>
  </w:style>
  <w:style w:type="paragraph" w:styleId="Style33" w:customStyle="1">
    <w:name w:val="Колонтитулы"/>
    <w:basedOn w:val="Normal"/>
    <w:qFormat/>
    <w:rsid w:val="00d23269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 w:customStyle="1">
    <w:name w:val="Header and Footer"/>
    <w:basedOn w:val="Normal"/>
    <w:qFormat/>
    <w:rsid w:val="00d06d4f"/>
    <w:pPr/>
    <w:rPr/>
  </w:style>
  <w:style w:type="paragraph" w:styleId="Header">
    <w:name w:val="header"/>
    <w:basedOn w:val="Normal"/>
    <w:link w:val="Style23"/>
    <w:uiPriority w:val="99"/>
    <w:rsid w:val="00d23269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34" w:customStyle="1">
    <w:name w:val="Верхний колонтитул слева"/>
    <w:basedOn w:val="Normal"/>
    <w:qFormat/>
    <w:rsid w:val="00d23269"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5" w:customStyle="1">
    <w:name w:val="Верхний колонтитул справа"/>
    <w:basedOn w:val="Normal"/>
    <w:qFormat/>
    <w:rsid w:val="00d23269"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rsid w:val="00d23269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36" w:customStyle="1">
    <w:name w:val="Нижний колонтитул слева"/>
    <w:basedOn w:val="Normal"/>
    <w:qFormat/>
    <w:rsid w:val="00d23269"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7" w:customStyle="1">
    <w:name w:val="Нижний колонтитул справа"/>
    <w:basedOn w:val="Normal"/>
    <w:qFormat/>
    <w:rsid w:val="00d23269"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38" w:customStyle="1">
    <w:name w:val="Содержимое таблицы"/>
    <w:basedOn w:val="Normal"/>
    <w:qFormat/>
    <w:rsid w:val="00d23269"/>
    <w:pPr/>
    <w:rPr/>
  </w:style>
  <w:style w:type="paragraph" w:styleId="Style39" w:customStyle="1">
    <w:name w:val="Заголовок таблицы"/>
    <w:basedOn w:val="Style38"/>
    <w:qFormat/>
    <w:rsid w:val="00d23269"/>
    <w:pPr/>
    <w:rPr>
      <w:b/>
    </w:rPr>
  </w:style>
  <w:style w:type="paragraph" w:styleId="Style40" w:customStyle="1">
    <w:name w:val="Иллюстрация"/>
    <w:basedOn w:val="Caption"/>
    <w:qFormat/>
    <w:rsid w:val="00d23269"/>
    <w:pPr/>
    <w:rPr/>
  </w:style>
  <w:style w:type="paragraph" w:styleId="Style41" w:customStyle="1">
    <w:name w:val="Таблица"/>
    <w:basedOn w:val="Caption"/>
    <w:qFormat/>
    <w:rsid w:val="00d23269"/>
    <w:pPr/>
    <w:rPr/>
  </w:style>
  <w:style w:type="paragraph" w:styleId="111" w:customStyle="1">
    <w:name w:val="Текст1"/>
    <w:basedOn w:val="Caption"/>
    <w:qFormat/>
    <w:rsid w:val="00d23269"/>
    <w:pPr/>
    <w:rPr/>
  </w:style>
  <w:style w:type="paragraph" w:styleId="Style42" w:customStyle="1">
    <w:name w:val="Содержимое врезки"/>
    <w:basedOn w:val="Normal"/>
    <w:qFormat/>
    <w:rsid w:val="00d23269"/>
    <w:pPr/>
    <w:rPr/>
  </w:style>
  <w:style w:type="paragraph" w:styleId="FootnoteText">
    <w:name w:val="footnote text"/>
    <w:basedOn w:val="Normal"/>
    <w:rsid w:val="00d23269"/>
    <w:pPr>
      <w:jc w:val="left"/>
    </w:pPr>
    <w:rPr/>
  </w:style>
  <w:style w:type="paragraph" w:styleId="EnvelopeAddress">
    <w:name w:val="envelope address"/>
    <w:basedOn w:val="Normal"/>
    <w:rsid w:val="00d23269"/>
    <w:pPr/>
    <w:rPr/>
  </w:style>
  <w:style w:type="paragraph" w:styleId="EnvelopeReturn">
    <w:name w:val="envelope return"/>
    <w:basedOn w:val="Normal"/>
    <w:rsid w:val="00d23269"/>
    <w:pPr/>
    <w:rPr/>
  </w:style>
  <w:style w:type="paragraph" w:styleId="EndnoteText">
    <w:name w:val="endnote text"/>
    <w:basedOn w:val="Normal"/>
    <w:rsid w:val="00d23269"/>
    <w:pPr/>
    <w:rPr/>
  </w:style>
  <w:style w:type="paragraph" w:styleId="Style43" w:customStyle="1">
    <w:name w:val="Рисунок"/>
    <w:basedOn w:val="Caption"/>
    <w:qFormat/>
    <w:rsid w:val="00d23269"/>
    <w:pPr/>
    <w:rPr/>
  </w:style>
  <w:style w:type="paragraph" w:styleId="Style44" w:customStyle="1">
    <w:name w:val="Текст в заданном формате"/>
    <w:basedOn w:val="Normal"/>
    <w:qFormat/>
    <w:rsid w:val="00d23269"/>
    <w:pPr/>
    <w:rPr/>
  </w:style>
  <w:style w:type="paragraph" w:styleId="Style45" w:customStyle="1">
    <w:name w:val="Горизонтальная линия"/>
    <w:basedOn w:val="Normal"/>
    <w:next w:val="BodyText"/>
    <w:qFormat/>
    <w:rsid w:val="00d23269"/>
    <w:pPr>
      <w:pBdr>
        <w:bottom w:val="single" w:sz="8" w:space="0" w:color="000000"/>
      </w:pBdr>
    </w:pPr>
    <w:rPr>
      <w:sz w:val="4"/>
    </w:rPr>
  </w:style>
  <w:style w:type="paragraph" w:styleId="Style46" w:customStyle="1">
    <w:name w:val="Содержимое списка"/>
    <w:basedOn w:val="Normal"/>
    <w:qFormat/>
    <w:rsid w:val="00d23269"/>
    <w:pPr/>
    <w:rPr/>
  </w:style>
  <w:style w:type="paragraph" w:styleId="Style47" w:customStyle="1">
    <w:name w:val="Заголовок списка"/>
    <w:basedOn w:val="Normal"/>
    <w:next w:val="Style46"/>
    <w:qFormat/>
    <w:rsid w:val="00d23269"/>
    <w:pPr/>
    <w:rPr/>
  </w:style>
  <w:style w:type="paragraph" w:styleId="Style48" w:customStyle="1">
    <w:name w:val="Гриф_Экземпляр"/>
    <w:basedOn w:val="Normal"/>
    <w:qFormat/>
    <w:rsid w:val="00d23269"/>
    <w:pPr/>
    <w:rPr>
      <w:sz w:val="24"/>
    </w:rPr>
  </w:style>
  <w:style w:type="paragraph" w:styleId="Style49" w:customStyle="1">
    <w:name w:val="Исполнитель документа"/>
    <w:basedOn w:val="Normal"/>
    <w:qFormat/>
    <w:rsid w:val="00d23269"/>
    <w:pPr>
      <w:jc w:val="left"/>
    </w:pPr>
    <w:rPr>
      <w:sz w:val="24"/>
    </w:rPr>
  </w:style>
  <w:style w:type="paragraph" w:styleId="Style50" w:customStyle="1">
    <w:name w:val="Заголовок списка иллюстраций"/>
    <w:basedOn w:val="Style24"/>
    <w:qFormat/>
    <w:rsid w:val="00d23269"/>
    <w:pPr>
      <w:suppressLineNumbers/>
    </w:pPr>
    <w:rPr/>
  </w:style>
  <w:style w:type="paragraph" w:styleId="ConsPlusNormal" w:customStyle="1">
    <w:name w:val="ConsPlusNormal"/>
    <w:qFormat/>
    <w:rsid w:val="00d23269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2"/>
      <w:sz w:val="22"/>
      <w:szCs w:val="20"/>
      <w:lang w:eastAsia="zh-CN" w:bidi="ar-SA" w:val="ru-RU"/>
    </w:rPr>
  </w:style>
  <w:style w:type="paragraph" w:styleId="BalloonText">
    <w:name w:val="Balloon Text"/>
    <w:basedOn w:val="Normal"/>
    <w:link w:val="Style22"/>
    <w:uiPriority w:val="99"/>
    <w:semiHidden/>
    <w:unhideWhenUsed/>
    <w:qFormat/>
    <w:rsid w:val="00ff4577"/>
    <w:pPr/>
    <w:rPr>
      <w:rFonts w:ascii="Tahoma" w:hAnsi="Tahoma" w:cs="Tahoma"/>
      <w:sz w:val="16"/>
      <w:szCs w:val="16"/>
    </w:rPr>
  </w:style>
  <w:style w:type="numbering" w:styleId="Style51" w:customStyle="1">
    <w:name w:val="Без списка"/>
    <w:uiPriority w:val="99"/>
    <w:semiHidden/>
    <w:unhideWhenUsed/>
    <w:qFormat/>
    <w:rsid w:val="00d06d4f"/>
  </w:style>
  <w:style w:type="numbering" w:styleId="123" w:customStyle="1">
    <w:name w:val="Нумерованный 123"/>
    <w:qFormat/>
    <w:rsid w:val="00d23269"/>
  </w:style>
  <w:style w:type="numbering" w:styleId="ABC" w:customStyle="1">
    <w:name w:val="Нумерованный ABC"/>
    <w:qFormat/>
    <w:rsid w:val="00d23269"/>
  </w:style>
  <w:style w:type="numbering" w:styleId="IVX" w:customStyle="1">
    <w:name w:val="Нумерованный IVX"/>
    <w:qFormat/>
    <w:rsid w:val="00d23269"/>
  </w:style>
  <w:style w:type="numbering" w:styleId="Style52" w:customStyle="1">
    <w:name w:val="Маркированный •"/>
    <w:qFormat/>
    <w:rsid w:val="00d23269"/>
  </w:style>
  <w:style w:type="numbering" w:styleId="Style53" w:customStyle="1">
    <w:name w:val="Маркированный –"/>
    <w:qFormat/>
    <w:rsid w:val="00d23269"/>
  </w:style>
  <w:style w:type="numbering" w:styleId="Style54" w:customStyle="1">
    <w:name w:val="Маркированный ☑"/>
    <w:qFormat/>
    <w:rsid w:val="00d23269"/>
  </w:style>
  <w:style w:type="numbering" w:styleId="Style55" w:customStyle="1">
    <w:name w:val="Маркированный ➢"/>
    <w:qFormat/>
    <w:rsid w:val="00d23269"/>
  </w:style>
  <w:style w:type="numbering" w:styleId="Style56" w:customStyle="1">
    <w:name w:val="Маркированный ✗"/>
    <w:qFormat/>
    <w:rsid w:val="00d23269"/>
  </w:style>
  <w:style w:type="numbering" w:styleId="abc1" w:customStyle="1">
    <w:name w:val="Нумерованный abc1"/>
    <w:qFormat/>
    <w:rsid w:val="00d23269"/>
  </w:style>
  <w:style w:type="numbering" w:styleId="ivx1" w:customStyle="1">
    <w:name w:val="Нумерованный ivx1"/>
    <w:qFormat/>
    <w:rsid w:val="00d23269"/>
  </w:style>
  <w:style w:type="numbering" w:styleId="112" w:customStyle="1">
    <w:name w:val="Нумерованный 1)"/>
    <w:qFormat/>
    <w:rsid w:val="00d23269"/>
  </w:style>
  <w:style w:type="numbering" w:styleId="Style57" w:customStyle="1">
    <w:name w:val="Нумерованный а)"/>
    <w:qFormat/>
    <w:rsid w:val="00d23269"/>
  </w:style>
  <w:style w:type="numbering" w:styleId="Style58" w:customStyle="1">
    <w:name w:val="Нумерованный для таблиц"/>
    <w:qFormat/>
    <w:rsid w:val="00d23269"/>
  </w:style>
  <w:style w:type="table" w:default="1" w:styleId="a6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6">
    <w:name w:val="Table Grid"/>
    <w:basedOn w:val="a6"/>
    <w:uiPriority w:val="59"/>
    <w:rsid w:val="00aa41e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header" Target="header4.xml"/><Relationship Id="rId20" Type="http://schemas.openxmlformats.org/officeDocument/2006/relationships/header" Target="header5.xml"/><Relationship Id="rId21" Type="http://schemas.openxmlformats.org/officeDocument/2006/relationships/footer" Target="footer4.xml"/><Relationship Id="rId22" Type="http://schemas.openxmlformats.org/officeDocument/2006/relationships/footer" Target="footer5.xml"/><Relationship Id="rId23" Type="http://schemas.openxmlformats.org/officeDocument/2006/relationships/numbering" Target="numbering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<Relationship Id="rId2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86F1F5-CE15-4F21-8FA9-F9B9747BF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Application>LibreOffice/24.8.4.2$Linux_X86_64 LibreOffice_project/480$Build-2</Application>
  <AppVersion>15.0000</AppVersion>
  <Pages>18</Pages>
  <Words>2185</Words>
  <Characters>17500</Characters>
  <CharactersWithSpaces>19293</CharactersWithSpaces>
  <Paragraphs>411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2026-01-03T13:07:00Z</dcterms:created>
  <dc:creator>User</dc:creator>
  <dc:description/>
  <dc:language>ru-RU</dc:language>
  <cp:lastModifiedBy/>
  <cp:lastPrinted>2026-01-03T14:36:00Z</cp:lastPrinted>
  <dcterms:modified xsi:type="dcterms:W3CDTF">2026-01-13T13:45:57Z</dcterms:modified>
  <cp:revision>12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